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8914A" w14:textId="77777777" w:rsidR="001C274F" w:rsidRPr="009872A1" w:rsidRDefault="001C274F" w:rsidP="001C274F">
      <w:pPr>
        <w:pStyle w:val="Title"/>
      </w:pPr>
      <w:r>
        <w:rPr>
          <w:lang w:val="en-NZ"/>
        </w:rPr>
        <w:t xml:space="preserve">Rural </w:t>
      </w:r>
      <w:r w:rsidRPr="00BC3908">
        <w:rPr>
          <w:lang w:val="en-NZ"/>
        </w:rPr>
        <w:t xml:space="preserve">Extension </w:t>
      </w:r>
      <w:r>
        <w:rPr>
          <w:lang w:val="en-NZ"/>
        </w:rPr>
        <w:t xml:space="preserve">and Innovation </w:t>
      </w:r>
      <w:r w:rsidRPr="00BC3908">
        <w:rPr>
          <w:lang w:val="en-NZ"/>
        </w:rPr>
        <w:t>Systems Journal</w:t>
      </w:r>
      <w:r w:rsidRPr="00BC3908">
        <w:rPr>
          <w:lang w:val="en-NZ"/>
        </w:rPr>
        <w:br/>
        <w:t xml:space="preserve">Guidelines for authors </w:t>
      </w:r>
      <w:r>
        <w:rPr>
          <w:lang w:val="en-NZ"/>
        </w:rPr>
        <w:br/>
      </w:r>
      <w:r w:rsidRPr="009872A1">
        <w:t>(12 pt Verdana)</w:t>
      </w:r>
    </w:p>
    <w:p w14:paraId="1BBA76C3" w14:textId="77777777" w:rsidR="001C274F" w:rsidRPr="009872A1" w:rsidRDefault="001C274F" w:rsidP="001C274F">
      <w:pPr>
        <w:pStyle w:val="Note"/>
        <w:ind w:left="1134" w:right="1134"/>
      </w:pPr>
      <w:r w:rsidRPr="009872A1">
        <w:rPr>
          <w:b/>
        </w:rPr>
        <w:t>NOTE</w:t>
      </w:r>
      <w:r w:rsidRPr="009872A1">
        <w:t xml:space="preserve">: </w:t>
      </w:r>
      <w:r w:rsidRPr="00FD7217">
        <w:rPr>
          <w:i/>
        </w:rPr>
        <w:t xml:space="preserve">Authors, save this file to your computer. It is </w:t>
      </w:r>
      <w:r>
        <w:rPr>
          <w:i/>
        </w:rPr>
        <w:t xml:space="preserve">a Word template file </w:t>
      </w:r>
      <w:r w:rsidRPr="00FD7217">
        <w:rPr>
          <w:i/>
        </w:rPr>
        <w:t xml:space="preserve">formatted in the </w:t>
      </w:r>
      <w:r>
        <w:rPr>
          <w:i/>
        </w:rPr>
        <w:t xml:space="preserve">REIS </w:t>
      </w:r>
      <w:r w:rsidRPr="00FD7217">
        <w:rPr>
          <w:i/>
        </w:rPr>
        <w:t xml:space="preserve">journal style using Word styles. If you know how to use Word templates </w:t>
      </w:r>
      <w:r>
        <w:rPr>
          <w:i/>
        </w:rPr>
        <w:t>and</w:t>
      </w:r>
      <w:r w:rsidRPr="00FD7217">
        <w:rPr>
          <w:i/>
        </w:rPr>
        <w:t xml:space="preserve"> styles you can save it </w:t>
      </w:r>
      <w:r>
        <w:rPr>
          <w:i/>
        </w:rPr>
        <w:t xml:space="preserve">as a template </w:t>
      </w:r>
      <w:r w:rsidRPr="00FD7217">
        <w:rPr>
          <w:i/>
        </w:rPr>
        <w:t xml:space="preserve">in the appropriate directory. The </w:t>
      </w:r>
      <w:r>
        <w:rPr>
          <w:i/>
        </w:rPr>
        <w:t>main</w:t>
      </w:r>
      <w:r w:rsidRPr="00FD7217">
        <w:rPr>
          <w:i/>
        </w:rPr>
        <w:t xml:space="preserve"> styles </w:t>
      </w:r>
      <w:r>
        <w:rPr>
          <w:i/>
        </w:rPr>
        <w:t>are in the Quick Style Gallery</w:t>
      </w:r>
      <w:r w:rsidRPr="00FD7217">
        <w:rPr>
          <w:i/>
        </w:rPr>
        <w:t>.</w:t>
      </w:r>
      <w:r w:rsidRPr="009872A1">
        <w:rPr>
          <w:b/>
          <w:i/>
        </w:rPr>
        <w:t xml:space="preserve"> Please delete this paragraph from the final paper.</w:t>
      </w:r>
    </w:p>
    <w:p w14:paraId="5B6AD721" w14:textId="77777777" w:rsidR="001C274F" w:rsidRPr="009872A1" w:rsidRDefault="001C274F" w:rsidP="001C274F">
      <w:pPr>
        <w:pStyle w:val="Author"/>
      </w:pPr>
      <w:r w:rsidRPr="009872A1">
        <w:t>Author(s) name here in 10 pt font</w:t>
      </w:r>
    </w:p>
    <w:p w14:paraId="2CCBE0FC" w14:textId="77777777" w:rsidR="001C274F" w:rsidRPr="009872A1" w:rsidRDefault="001C274F" w:rsidP="001C274F">
      <w:pPr>
        <w:pStyle w:val="Authorscontacts"/>
      </w:pPr>
      <w:r w:rsidRPr="009872A1">
        <w:t>Organisation and postal address or all authors in 8 pt font</w:t>
      </w:r>
    </w:p>
    <w:p w14:paraId="2482EEC7" w14:textId="77777777" w:rsidR="001C274F" w:rsidRPr="009872A1" w:rsidRDefault="001C274F" w:rsidP="001C274F">
      <w:pPr>
        <w:pStyle w:val="Authorscontacts"/>
      </w:pPr>
      <w:r w:rsidRPr="009872A1">
        <w:t>Email: email address of contact author only in 8 pt font</w:t>
      </w:r>
    </w:p>
    <w:p w14:paraId="4E0F09DB" w14:textId="77777777" w:rsidR="001C274F" w:rsidRPr="009872A1" w:rsidRDefault="001C274F" w:rsidP="001C274F">
      <w:pPr>
        <w:pStyle w:val="Abstract"/>
      </w:pPr>
      <w:r w:rsidRPr="009872A1">
        <w:rPr>
          <w:b/>
        </w:rPr>
        <w:t>Abstract.</w:t>
      </w:r>
      <w:r w:rsidRPr="009872A1">
        <w:t xml:space="preserve"> (</w:t>
      </w:r>
      <w:r>
        <w:t xml:space="preserve">Verdana </w:t>
      </w:r>
      <w:r w:rsidRPr="009872A1">
        <w:t xml:space="preserve">8 pt font) This paper contains the instructions for authors </w:t>
      </w:r>
      <w:r>
        <w:t xml:space="preserve">intending to submit an article to the Rural </w:t>
      </w:r>
      <w:r w:rsidRPr="009872A1">
        <w:t xml:space="preserve">Extension </w:t>
      </w:r>
      <w:r>
        <w:t xml:space="preserve">and Innovation </w:t>
      </w:r>
      <w:r w:rsidRPr="009872A1">
        <w:t xml:space="preserve">Systems Journal, a publication of the Australasia-Pacific Extension </w:t>
      </w:r>
      <w:r>
        <w:t xml:space="preserve">Network </w:t>
      </w:r>
      <w:r w:rsidRPr="009872A1">
        <w:t xml:space="preserve">(APEN). It is written </w:t>
      </w:r>
      <w:r>
        <w:t>using</w:t>
      </w:r>
      <w:r w:rsidRPr="009872A1">
        <w:t xml:space="preserve"> the format and style of the Journal. It highlights the character of the papers to be submitted and their disciplinary scope. It also encompasses house style, formatting, structure of contents and copyright matters. Finally, it explains the process for submission of papers. </w:t>
      </w:r>
      <w:r>
        <w:t>Abstracts are not essential for Practice papers and should not exceed 150 words.</w:t>
      </w:r>
    </w:p>
    <w:p w14:paraId="31F9EDED" w14:textId="77777777" w:rsidR="001C274F" w:rsidRPr="009872A1" w:rsidRDefault="001C274F" w:rsidP="001C274F">
      <w:pPr>
        <w:pStyle w:val="Abstract"/>
      </w:pPr>
      <w:r w:rsidRPr="009872A1">
        <w:rPr>
          <w:b/>
        </w:rPr>
        <w:t>Keywords:</w:t>
      </w:r>
      <w:r w:rsidRPr="009872A1">
        <w:t xml:space="preserve"> (8 points font size, max. 6 words) authors instructions, formatting, structure.</w:t>
      </w:r>
    </w:p>
    <w:p w14:paraId="5C296EFE" w14:textId="77777777" w:rsidR="001C274F" w:rsidRDefault="001C274F" w:rsidP="001C274F">
      <w:pPr>
        <w:pStyle w:val="Heading1"/>
      </w:pPr>
      <w:r w:rsidRPr="009872A1">
        <w:t>Introduction (</w:t>
      </w:r>
      <w:r>
        <w:t>Level 1 heading, bold)</w:t>
      </w:r>
    </w:p>
    <w:p w14:paraId="3C93F492" w14:textId="77777777" w:rsidR="001C274F" w:rsidRDefault="001C274F" w:rsidP="001C274F">
      <w:pPr>
        <w:pStyle w:val="BodyText"/>
      </w:pPr>
      <w:r>
        <w:t xml:space="preserve">The </w:t>
      </w:r>
      <w:r>
        <w:rPr>
          <w:i/>
        </w:rPr>
        <w:t>R</w:t>
      </w:r>
      <w:r w:rsidRPr="009872A1">
        <w:rPr>
          <w:i/>
        </w:rPr>
        <w:t>E</w:t>
      </w:r>
      <w:r>
        <w:rPr>
          <w:i/>
        </w:rPr>
        <w:t>I</w:t>
      </w:r>
      <w:r w:rsidRPr="009872A1">
        <w:rPr>
          <w:i/>
        </w:rPr>
        <w:t>S Journal</w:t>
      </w:r>
      <w:r w:rsidRPr="009872A1">
        <w:t xml:space="preserve"> is published in printed and electronic </w:t>
      </w:r>
      <w:r>
        <w:t>forms</w:t>
      </w:r>
      <w:r w:rsidRPr="009872A1">
        <w:t xml:space="preserve">. </w:t>
      </w:r>
      <w:r>
        <w:t>It</w:t>
      </w:r>
      <w:r w:rsidRPr="009872A1">
        <w:t xml:space="preserve"> </w:t>
      </w:r>
      <w:r w:rsidR="00C53EA8">
        <w:t xml:space="preserve">is an open access journal </w:t>
      </w:r>
      <w:r w:rsidR="00203704">
        <w:t>without</w:t>
      </w:r>
      <w:r w:rsidR="00C53EA8">
        <w:t xml:space="preserve"> charges for accessing or submitting </w:t>
      </w:r>
      <w:r w:rsidR="00203704">
        <w:t xml:space="preserve">articles aimed at </w:t>
      </w:r>
      <w:r w:rsidRPr="009872A1">
        <w:t xml:space="preserve">APEN Network </w:t>
      </w:r>
      <w:r w:rsidR="00203704">
        <w:t xml:space="preserve">and GFRAS Network </w:t>
      </w:r>
      <w:r w:rsidRPr="009872A1">
        <w:t>members and others</w:t>
      </w:r>
      <w:r>
        <w:t xml:space="preserve">. </w:t>
      </w:r>
      <w:r w:rsidRPr="00452BBF">
        <w:t xml:space="preserve">Its purpose is to support innovation and practice change in primary industries and natural resource management by publishing high-quality articles on extension </w:t>
      </w:r>
      <w:r w:rsidR="00411007">
        <w:t>research</w:t>
      </w:r>
      <w:r w:rsidRPr="00452BBF">
        <w:t xml:space="preserve"> and practice relevant to Australia, New Zealand and the broader Australasia-Pacific Region. It focuses on </w:t>
      </w:r>
      <w:r>
        <w:t xml:space="preserve">innovation systems and </w:t>
      </w:r>
      <w:r w:rsidRPr="00452BBF">
        <w:t>extension aspects of agribusiness and natural resource systems.</w:t>
      </w:r>
    </w:p>
    <w:p w14:paraId="131A46E7" w14:textId="77777777" w:rsidR="001C274F" w:rsidRPr="009872A1" w:rsidRDefault="001C274F" w:rsidP="001C274F">
      <w:pPr>
        <w:pStyle w:val="BodyText"/>
      </w:pPr>
      <w:r>
        <w:t>Use Body Text style for paragraphs.</w:t>
      </w:r>
    </w:p>
    <w:p w14:paraId="721ED8CB" w14:textId="77777777" w:rsidR="001C274F" w:rsidRPr="009872A1" w:rsidRDefault="001C274F" w:rsidP="001C274F">
      <w:pPr>
        <w:pStyle w:val="Heading1"/>
      </w:pPr>
      <w:r w:rsidRPr="009872A1">
        <w:t>Types of papers published</w:t>
      </w:r>
    </w:p>
    <w:p w14:paraId="246FCB86" w14:textId="77777777" w:rsidR="001C274F" w:rsidRPr="00B93331" w:rsidRDefault="001C274F" w:rsidP="001C274F">
      <w:pPr>
        <w:pStyle w:val="BodyText"/>
        <w:rPr>
          <w:lang w:eastAsia="en-AU"/>
        </w:rPr>
      </w:pPr>
      <w:r>
        <w:t>The journal</w:t>
      </w:r>
      <w:r w:rsidRPr="009872A1">
        <w:t xml:space="preserve"> reflects the multidisciplinary character of APEN, encompassing </w:t>
      </w:r>
      <w:r>
        <w:t>work relevant to academic researchers and extension practitioners in agriculture, agribusiness and natural resource management. The Editor will decide whether the paper is to be accepted, rejected or sent back to the author for improvements</w:t>
      </w:r>
      <w:r w:rsidR="00D643F9">
        <w:t xml:space="preserve"> before sending to reviewers or publication</w:t>
      </w:r>
      <w:r>
        <w:t xml:space="preserve">. </w:t>
      </w:r>
    </w:p>
    <w:p w14:paraId="6FDF9D2F" w14:textId="77777777" w:rsidR="001C274F" w:rsidRDefault="001C274F" w:rsidP="001C274F">
      <w:pPr>
        <w:pStyle w:val="Heading2"/>
      </w:pPr>
      <w:r>
        <w:t>Research papers (Level 2 heading, italics and bold)</w:t>
      </w:r>
    </w:p>
    <w:p w14:paraId="709DF52E" w14:textId="77777777" w:rsidR="001C274F" w:rsidRDefault="001C274F" w:rsidP="001C274F">
      <w:pPr>
        <w:pStyle w:val="BodyText"/>
      </w:pPr>
      <w:r w:rsidRPr="00E02885">
        <w:rPr>
          <w:i/>
        </w:rPr>
        <w:t>Research</w:t>
      </w:r>
      <w:r>
        <w:t xml:space="preserve"> </w:t>
      </w:r>
      <w:r w:rsidR="003847D4">
        <w:t>papers</w:t>
      </w:r>
      <w:r>
        <w:t xml:space="preserve"> contain research</w:t>
      </w:r>
      <w:r w:rsidRPr="008C1583">
        <w:t xml:space="preserve"> into </w:t>
      </w:r>
      <w:r>
        <w:t xml:space="preserve">agricultural and natural resource change management, </w:t>
      </w:r>
      <w:r w:rsidRPr="008C1583">
        <w:t>extension</w:t>
      </w:r>
      <w:r>
        <w:t>, development and innovation systems</w:t>
      </w:r>
      <w:r w:rsidRPr="008C1583">
        <w:t xml:space="preserve"> issues that follow rigorous and recognised disciplinary research methodolog</w:t>
      </w:r>
      <w:r w:rsidR="003847D4">
        <w:t>ies</w:t>
      </w:r>
      <w:r>
        <w:t>. Papers will be reviewed by the Editor and double-blind reviewed by two Editorial Board members or selected reviewers.</w:t>
      </w:r>
      <w:r w:rsidRPr="008C1583">
        <w:t xml:space="preserve"> </w:t>
      </w:r>
      <w:r w:rsidR="004438A8">
        <w:t xml:space="preserve">Papers for this section target </w:t>
      </w:r>
      <w:r w:rsidRPr="008C1583">
        <w:t>professional extension practitioners, researchers and educators.</w:t>
      </w:r>
      <w:r>
        <w:t xml:space="preserve"> </w:t>
      </w:r>
      <w:r w:rsidR="003847D4">
        <w:t>They</w:t>
      </w:r>
      <w:r>
        <w:t xml:space="preserve"> should not exceed 7500 words.</w:t>
      </w:r>
    </w:p>
    <w:p w14:paraId="76D3CF22" w14:textId="77777777" w:rsidR="001C274F" w:rsidRDefault="001C274F" w:rsidP="001C274F">
      <w:pPr>
        <w:pStyle w:val="Heading2"/>
      </w:pPr>
      <w:r>
        <w:t>Literature reviews</w:t>
      </w:r>
    </w:p>
    <w:p w14:paraId="36BE3B12" w14:textId="77777777" w:rsidR="001C274F" w:rsidRPr="00361AD0" w:rsidRDefault="001C274F" w:rsidP="001C274F">
      <w:pPr>
        <w:pStyle w:val="BodyText"/>
      </w:pPr>
      <w:r w:rsidRPr="00B72B72">
        <w:rPr>
          <w:i/>
          <w:lang w:eastAsia="en-AU"/>
        </w:rPr>
        <w:t>Literature</w:t>
      </w:r>
      <w:r>
        <w:rPr>
          <w:lang w:eastAsia="en-AU"/>
        </w:rPr>
        <w:t xml:space="preserve"> </w:t>
      </w:r>
      <w:r w:rsidR="003847D4">
        <w:rPr>
          <w:lang w:eastAsia="en-AU"/>
        </w:rPr>
        <w:t>r</w:t>
      </w:r>
      <w:r w:rsidRPr="003847D4">
        <w:rPr>
          <w:lang w:eastAsia="en-AU"/>
        </w:rPr>
        <w:t>eview</w:t>
      </w:r>
      <w:r w:rsidR="003847D4">
        <w:rPr>
          <w:lang w:eastAsia="en-AU"/>
        </w:rPr>
        <w:t>s</w:t>
      </w:r>
      <w:r>
        <w:rPr>
          <w:i/>
          <w:lang w:eastAsia="en-AU"/>
        </w:rPr>
        <w:t xml:space="preserve"> </w:t>
      </w:r>
      <w:r w:rsidR="003847D4">
        <w:t>should be</w:t>
      </w:r>
      <w:r w:rsidRPr="00361AD0">
        <w:t xml:space="preserve"> ac</w:t>
      </w:r>
      <w:r>
        <w:t>ademic reviews in the field</w:t>
      </w:r>
      <w:r w:rsidR="00D8301E">
        <w:t>s</w:t>
      </w:r>
      <w:r>
        <w:t xml:space="preserve"> of agricultural and natural resource change management, </w:t>
      </w:r>
      <w:r w:rsidRPr="008C1583">
        <w:t>extension</w:t>
      </w:r>
      <w:r>
        <w:t>, development and innovation systems</w:t>
      </w:r>
      <w:r w:rsidRPr="008C1583">
        <w:t xml:space="preserve"> issues</w:t>
      </w:r>
      <w:r>
        <w:t xml:space="preserve">. </w:t>
      </w:r>
      <w:r w:rsidR="004438A8">
        <w:t xml:space="preserve">The paper </w:t>
      </w:r>
      <w:r>
        <w:t>should follow a well-defined structure and will be reviewed by the Editor and double blind-reviewed by two Editorial Board members or selected reviewers. Maximum length is 5000 words.</w:t>
      </w:r>
    </w:p>
    <w:p w14:paraId="3AECF4C9" w14:textId="77777777" w:rsidR="001C274F" w:rsidRDefault="001C274F" w:rsidP="001C274F">
      <w:pPr>
        <w:pStyle w:val="Heading2"/>
      </w:pPr>
      <w:r>
        <w:t>Practice papers</w:t>
      </w:r>
    </w:p>
    <w:p w14:paraId="2F77954B" w14:textId="77777777" w:rsidR="001C274F" w:rsidRDefault="001C274F" w:rsidP="001C274F">
      <w:pPr>
        <w:pStyle w:val="BodyText"/>
        <w:rPr>
          <w:lang w:val="en-NZ"/>
        </w:rPr>
      </w:pPr>
      <w:r>
        <w:rPr>
          <w:i/>
          <w:lang w:val="en-NZ"/>
        </w:rPr>
        <w:t>Practice</w:t>
      </w:r>
      <w:r>
        <w:rPr>
          <w:lang w:val="en-NZ"/>
        </w:rPr>
        <w:t xml:space="preserve"> </w:t>
      </w:r>
      <w:r w:rsidR="003847D4">
        <w:rPr>
          <w:lang w:val="en-NZ"/>
        </w:rPr>
        <w:t>paper</w:t>
      </w:r>
      <w:r w:rsidR="00C358C1">
        <w:rPr>
          <w:lang w:val="en-NZ"/>
        </w:rPr>
        <w:t>s</w:t>
      </w:r>
      <w:r w:rsidR="003847D4">
        <w:rPr>
          <w:lang w:val="en-NZ"/>
        </w:rPr>
        <w:t xml:space="preserve"> </w:t>
      </w:r>
      <w:r>
        <w:rPr>
          <w:lang w:val="en-NZ"/>
        </w:rPr>
        <w:t xml:space="preserve">provide a forum for practitioners and academics to share their experiences and practical innovations with others in the fields of agricultural extension, farm management and natural resource management. </w:t>
      </w:r>
      <w:r w:rsidR="003847D4">
        <w:rPr>
          <w:lang w:val="en-NZ"/>
        </w:rPr>
        <w:t>They are</w:t>
      </w:r>
      <w:r>
        <w:rPr>
          <w:lang w:val="en-NZ"/>
        </w:rPr>
        <w:t xml:space="preserve"> informal, accessible articles that document successes</w:t>
      </w:r>
      <w:r w:rsidR="00D643F9">
        <w:rPr>
          <w:lang w:val="en-NZ"/>
        </w:rPr>
        <w:t>,</w:t>
      </w:r>
      <w:r>
        <w:rPr>
          <w:lang w:val="en-NZ"/>
        </w:rPr>
        <w:t xml:space="preserve"> failures and lessons from extension professionals’ experiences. </w:t>
      </w:r>
      <w:r w:rsidR="003847D4">
        <w:rPr>
          <w:lang w:val="en-NZ"/>
        </w:rPr>
        <w:t>P</w:t>
      </w:r>
      <w:r>
        <w:rPr>
          <w:lang w:val="en-NZ"/>
        </w:rPr>
        <w:t>aper</w:t>
      </w:r>
      <w:r w:rsidR="003847D4">
        <w:rPr>
          <w:lang w:val="en-NZ"/>
        </w:rPr>
        <w:t>s</w:t>
      </w:r>
      <w:r>
        <w:rPr>
          <w:lang w:val="en-NZ"/>
        </w:rPr>
        <w:t xml:space="preserve"> will be reviewed by the Editor and an extension professional. Maximum length is 4000 words.</w:t>
      </w:r>
    </w:p>
    <w:p w14:paraId="19A722A9" w14:textId="77777777" w:rsidR="001C274F" w:rsidRDefault="001C274F" w:rsidP="001C274F">
      <w:pPr>
        <w:pStyle w:val="Heading2"/>
      </w:pPr>
      <w:r>
        <w:t xml:space="preserve">APEN </w:t>
      </w:r>
      <w:r w:rsidR="008B50BD">
        <w:t xml:space="preserve">conference </w:t>
      </w:r>
      <w:r w:rsidR="00D45370">
        <w:t xml:space="preserve">keynote </w:t>
      </w:r>
      <w:r>
        <w:t>papers</w:t>
      </w:r>
    </w:p>
    <w:p w14:paraId="3BE95AA7" w14:textId="77777777" w:rsidR="001C274F" w:rsidRPr="00860DE5" w:rsidRDefault="001C274F" w:rsidP="001C274F">
      <w:pPr>
        <w:pStyle w:val="BodyText"/>
        <w:rPr>
          <w:lang w:eastAsia="en-AU"/>
        </w:rPr>
      </w:pPr>
      <w:r w:rsidRPr="00860DE5">
        <w:rPr>
          <w:lang w:eastAsia="en-AU"/>
        </w:rPr>
        <w:t xml:space="preserve">Presenters of Keynote conference papers at APEN conferences will be given an opportunity to publish a paper based on their conference presentation. The focus is also on informal, accessible </w:t>
      </w:r>
      <w:r w:rsidRPr="00860DE5">
        <w:rPr>
          <w:lang w:eastAsia="en-AU"/>
        </w:rPr>
        <w:lastRenderedPageBreak/>
        <w:t>articles rather than academic articles. The paper will be reviewed by the Editors. Papers should not exceed 5000 words.</w:t>
      </w:r>
    </w:p>
    <w:p w14:paraId="0247876C" w14:textId="77777777" w:rsidR="001C274F" w:rsidRDefault="001C274F" w:rsidP="001C274F">
      <w:pPr>
        <w:pStyle w:val="Heading2"/>
      </w:pPr>
      <w:r>
        <w:t>Opinion or commentary articles</w:t>
      </w:r>
    </w:p>
    <w:p w14:paraId="0D22EA0B" w14:textId="77777777" w:rsidR="001C274F" w:rsidRPr="00860DE5" w:rsidRDefault="001C274F" w:rsidP="001C274F">
      <w:pPr>
        <w:pStyle w:val="BodyText"/>
        <w:rPr>
          <w:lang w:eastAsia="en-AU"/>
        </w:rPr>
      </w:pPr>
      <w:r w:rsidRPr="00860DE5">
        <w:rPr>
          <w:lang w:eastAsia="en-AU"/>
        </w:rPr>
        <w:t xml:space="preserve">Those wishing to write opinion or commentary articles are encouraged to submit them to ExtensionNet, which is a regular newsletter style publication of APEN. </w:t>
      </w:r>
      <w:bookmarkStart w:id="0" w:name="_Hlk515609516"/>
      <w:r w:rsidRPr="00860DE5">
        <w:rPr>
          <w:lang w:eastAsia="en-AU"/>
        </w:rPr>
        <w:t xml:space="preserve">The Editor of ExtensionNet may also approach authors to write a </w:t>
      </w:r>
      <w:r>
        <w:rPr>
          <w:lang w:eastAsia="en-AU"/>
        </w:rPr>
        <w:t>concise,</w:t>
      </w:r>
      <w:r w:rsidRPr="00860DE5">
        <w:rPr>
          <w:lang w:eastAsia="en-AU"/>
        </w:rPr>
        <w:t xml:space="preserve"> </w:t>
      </w:r>
      <w:r>
        <w:rPr>
          <w:lang w:eastAsia="en-AU"/>
        </w:rPr>
        <w:t xml:space="preserve">informative </w:t>
      </w:r>
      <w:r w:rsidRPr="00860DE5">
        <w:rPr>
          <w:lang w:eastAsia="en-AU"/>
        </w:rPr>
        <w:t>article on the key findings of their paper for extension practitioners</w:t>
      </w:r>
      <w:r>
        <w:rPr>
          <w:lang w:eastAsia="en-AU"/>
        </w:rPr>
        <w:t xml:space="preserve"> for publication in ExtensionNet</w:t>
      </w:r>
      <w:r w:rsidRPr="00860DE5">
        <w:rPr>
          <w:lang w:eastAsia="en-AU"/>
        </w:rPr>
        <w:t>.</w:t>
      </w:r>
      <w:bookmarkEnd w:id="0"/>
    </w:p>
    <w:p w14:paraId="0F795722" w14:textId="77777777" w:rsidR="001C274F" w:rsidRPr="009872A1" w:rsidRDefault="001C274F" w:rsidP="001C274F">
      <w:pPr>
        <w:pStyle w:val="Heading1"/>
      </w:pPr>
      <w:r w:rsidRPr="009872A1">
        <w:t>Manuscript preparation</w:t>
      </w:r>
    </w:p>
    <w:p w14:paraId="3D106120" w14:textId="77777777" w:rsidR="001C274F" w:rsidRPr="009872A1" w:rsidRDefault="001C274F" w:rsidP="001C274F">
      <w:pPr>
        <w:pStyle w:val="BodyText"/>
      </w:pPr>
      <w:r w:rsidRPr="009872A1">
        <w:t xml:space="preserve">Authors </w:t>
      </w:r>
      <w:r>
        <w:t>should</w:t>
      </w:r>
      <w:r w:rsidRPr="009872A1">
        <w:t xml:space="preserve"> submit their manuscripts electronically as Word files, using the journal style and format described below. For advice on matters of </w:t>
      </w:r>
      <w:r>
        <w:t xml:space="preserve">formatting </w:t>
      </w:r>
      <w:r w:rsidRPr="009872A1">
        <w:t xml:space="preserve">style, the editorial team recommends authors refer to the </w:t>
      </w:r>
      <w:r w:rsidRPr="009872A1">
        <w:rPr>
          <w:i/>
        </w:rPr>
        <w:t>Style manual for authors, editors and printers</w:t>
      </w:r>
      <w:r w:rsidRPr="009872A1">
        <w:t xml:space="preserve"> 2002, 6th edn, rev. Snooks and Co., John Wiley and Sons, Australia Ltd.</w:t>
      </w:r>
    </w:p>
    <w:p w14:paraId="386AD28B" w14:textId="77777777" w:rsidR="001C274F" w:rsidRPr="009872A1" w:rsidRDefault="001C274F" w:rsidP="001C274F">
      <w:pPr>
        <w:pStyle w:val="Heading2"/>
      </w:pPr>
      <w:r w:rsidRPr="009872A1">
        <w:t>House styl</w:t>
      </w:r>
      <w:r>
        <w:t>e</w:t>
      </w:r>
    </w:p>
    <w:p w14:paraId="751BEC6B" w14:textId="77777777" w:rsidR="001C274F" w:rsidRPr="009872A1" w:rsidRDefault="001C274F" w:rsidP="001C274F">
      <w:pPr>
        <w:pStyle w:val="BodyText"/>
      </w:pPr>
      <w:r w:rsidRPr="009872A1">
        <w:rPr>
          <w:i/>
          <w:u w:val="single"/>
        </w:rPr>
        <w:t>Spelling (</w:t>
      </w:r>
      <w:r>
        <w:rPr>
          <w:i/>
          <w:u w:val="single"/>
        </w:rPr>
        <w:t>Level 3</w:t>
      </w:r>
      <w:r w:rsidRPr="009872A1">
        <w:rPr>
          <w:i/>
          <w:u w:val="single"/>
        </w:rPr>
        <w:t>, italics and underlined)</w:t>
      </w:r>
      <w:r w:rsidRPr="009872A1">
        <w:t xml:space="preserve"> The journal uses Australian or New Zealand spelling. The </w:t>
      </w:r>
      <w:r w:rsidRPr="009872A1">
        <w:rPr>
          <w:i/>
        </w:rPr>
        <w:t>Macquarie dictionary</w:t>
      </w:r>
      <w:r w:rsidRPr="009872A1">
        <w:t xml:space="preserve"> (latest edition) is the Journal’s authority for Australian spelling, but Word also has an option for Australian or New Zealand English.</w:t>
      </w:r>
    </w:p>
    <w:p w14:paraId="4B49C17A" w14:textId="77777777" w:rsidR="001C274F" w:rsidRPr="008C1583" w:rsidRDefault="001C274F" w:rsidP="001C274F">
      <w:pPr>
        <w:pStyle w:val="BodyText"/>
      </w:pPr>
      <w:r w:rsidRPr="009872A1">
        <w:rPr>
          <w:i/>
          <w:u w:val="single"/>
        </w:rPr>
        <w:t>Punctuation</w:t>
      </w:r>
      <w:r w:rsidRPr="009872A1">
        <w:t xml:space="preserve"> The style to follow with punctuation follows that laid out by Snooks &amp; Co. (2002)</w:t>
      </w:r>
      <w:r w:rsidRPr="009872A1">
        <w:rPr>
          <w:i/>
        </w:rPr>
        <w:t>.</w:t>
      </w:r>
      <w:r w:rsidRPr="00BA5B00">
        <w:t xml:space="preserve"> Note particularly </w:t>
      </w:r>
      <w:r>
        <w:t>their guidelines on use of apostrophes and hyphens.</w:t>
      </w:r>
    </w:p>
    <w:p w14:paraId="679041DB" w14:textId="77777777" w:rsidR="001C274F" w:rsidRPr="009872A1" w:rsidRDefault="001C274F" w:rsidP="001C274F">
      <w:pPr>
        <w:pStyle w:val="BodyText"/>
      </w:pPr>
      <w:r w:rsidRPr="009872A1">
        <w:rPr>
          <w:i/>
          <w:u w:val="single"/>
        </w:rPr>
        <w:t>Font</w:t>
      </w:r>
      <w:r w:rsidRPr="009872A1">
        <w:t xml:space="preserve"> Verdana font is used throughout the Journal.</w:t>
      </w:r>
    </w:p>
    <w:p w14:paraId="243B54EA" w14:textId="77777777" w:rsidR="001C274F" w:rsidRPr="009872A1" w:rsidRDefault="001C274F" w:rsidP="001C274F">
      <w:pPr>
        <w:pStyle w:val="BodyText"/>
      </w:pPr>
      <w:r w:rsidRPr="009872A1">
        <w:rPr>
          <w:i/>
          <w:u w:val="single"/>
        </w:rPr>
        <w:t>Footnotes</w:t>
      </w:r>
      <w:r w:rsidRPr="009872A1">
        <w:t xml:space="preserve"> Footnotes are not recommended since the headers and footers of the Journal are used for specific editorial purposes.</w:t>
      </w:r>
    </w:p>
    <w:p w14:paraId="13354D22" w14:textId="77777777" w:rsidR="001C274F" w:rsidRPr="009872A1" w:rsidRDefault="001C274F" w:rsidP="001C274F">
      <w:pPr>
        <w:pStyle w:val="Heading2"/>
      </w:pPr>
      <w:r w:rsidRPr="009872A1">
        <w:t>Page dimensions</w:t>
      </w:r>
    </w:p>
    <w:p w14:paraId="7EDCC6B2" w14:textId="77777777" w:rsidR="001C274F" w:rsidRPr="009872A1" w:rsidRDefault="001C274F" w:rsidP="001C274F">
      <w:pPr>
        <w:pStyle w:val="BodyText"/>
      </w:pPr>
      <w:r>
        <w:t xml:space="preserve">The </w:t>
      </w:r>
      <w:r w:rsidRPr="009872A1">
        <w:t>manuscript should be formatted on A4 paper, with left, right, top and bottom margins set on 2.5 cm and a gutter of 0.5 cm. Headers and footers are set 1.5 cm from edges of page. Set the Multiple pages option to ‘Mirror margins’.</w:t>
      </w:r>
    </w:p>
    <w:p w14:paraId="76BFA774" w14:textId="77777777" w:rsidR="001C274F" w:rsidRPr="009872A1" w:rsidRDefault="001C274F" w:rsidP="001C274F">
      <w:pPr>
        <w:pStyle w:val="Heading2"/>
      </w:pPr>
      <w:r w:rsidRPr="009872A1">
        <w:t>Title, authorship, contents list and abstract</w:t>
      </w:r>
    </w:p>
    <w:p w14:paraId="3187F2AB" w14:textId="77777777" w:rsidR="001C274F" w:rsidRPr="009872A1" w:rsidRDefault="001C274F" w:rsidP="001C274F">
      <w:pPr>
        <w:pStyle w:val="BodyText"/>
      </w:pPr>
      <w:r w:rsidRPr="009872A1">
        <w:rPr>
          <w:i/>
          <w:u w:val="single"/>
        </w:rPr>
        <w:t>Title</w:t>
      </w:r>
      <w:r w:rsidRPr="009872A1">
        <w:t xml:space="preserve"> Title is set in 12 pt Verdana typeface, bold, centred, with 6 pt spacing below</w:t>
      </w:r>
      <w:r>
        <w:t xml:space="preserve">; select Title in Quick styles. </w:t>
      </w:r>
      <w:r w:rsidRPr="009872A1">
        <w:t>It is typed in lower case except for the first letter of the first word and of any other words that usually require a capital letter. As a rule of thumb, remember that you ‘capture’ the reader with your title. Make sure it is concise, plain, attractive and conveys your message.</w:t>
      </w:r>
    </w:p>
    <w:p w14:paraId="477568C1" w14:textId="77777777" w:rsidR="001C274F" w:rsidRPr="009872A1" w:rsidRDefault="001C274F" w:rsidP="001C274F">
      <w:pPr>
        <w:pStyle w:val="BodyText"/>
      </w:pPr>
      <w:r w:rsidRPr="009872A1">
        <w:rPr>
          <w:i/>
          <w:u w:val="single"/>
        </w:rPr>
        <w:t>Authorship</w:t>
      </w:r>
      <w:r w:rsidRPr="009872A1">
        <w:t xml:space="preserve"> Authors’ names are set in 10 pt Verdana, centred, with 6 pt spacing below</w:t>
      </w:r>
      <w:r>
        <w:t>; select Author in Quick styles.</w:t>
      </w:r>
      <w:r w:rsidRPr="009872A1">
        <w:t xml:space="preserve"> Connect the last author with ‘and’ rather than ‘&amp;’. Authors’ initials or first names should precede their family names. Full stops are not used after the authors’ initials. Commas separate names of the authors. Use superscript numerals to refer to the authors’ institutions, when there is more than one author, and more than one institution.</w:t>
      </w:r>
    </w:p>
    <w:p w14:paraId="7E409DC2" w14:textId="77777777" w:rsidR="001C274F" w:rsidRPr="009872A1" w:rsidRDefault="001C274F" w:rsidP="001C274F">
      <w:pPr>
        <w:pStyle w:val="BodyText"/>
      </w:pPr>
      <w:r w:rsidRPr="009872A1">
        <w:rPr>
          <w:i/>
          <w:u w:val="single"/>
        </w:rPr>
        <w:t>Authors’ contact details</w:t>
      </w:r>
      <w:r w:rsidRPr="009872A1">
        <w:t xml:space="preserve"> Use 8 pt Verdana, centred, with 6 pt spacing below</w:t>
      </w:r>
      <w:r>
        <w:t>; select Authors contacts in Quick styles</w:t>
      </w:r>
      <w:r w:rsidRPr="009872A1">
        <w:t>. Give the name of the institution, full postal address and the contact author’s email address.</w:t>
      </w:r>
    </w:p>
    <w:p w14:paraId="0FF12007" w14:textId="77777777" w:rsidR="001C274F" w:rsidRPr="009872A1" w:rsidRDefault="001C274F" w:rsidP="001C274F">
      <w:pPr>
        <w:pStyle w:val="BodyText"/>
      </w:pPr>
      <w:r w:rsidRPr="009872A1">
        <w:rPr>
          <w:i/>
          <w:u w:val="single"/>
        </w:rPr>
        <w:t>Abstract</w:t>
      </w:r>
      <w:r w:rsidRPr="009872A1">
        <w:t xml:space="preserve"> Set the abstract in 8 pt Verdana, with 6 pt spacing below</w:t>
      </w:r>
      <w:r>
        <w:t>; select Abstract in Quick styles</w:t>
      </w:r>
      <w:r w:rsidRPr="009872A1">
        <w:t>. It is indented by 1 cm on both left and right sides, and text is justified. The abstract should not exceed 150 words. Give the background, justification, methods, outline of results and limitations.</w:t>
      </w:r>
    </w:p>
    <w:p w14:paraId="30666C75" w14:textId="77777777" w:rsidR="001C274F" w:rsidRPr="009872A1" w:rsidRDefault="001C274F" w:rsidP="001C274F">
      <w:pPr>
        <w:pStyle w:val="Heading2"/>
      </w:pPr>
      <w:r w:rsidRPr="009872A1">
        <w:t>Main text</w:t>
      </w:r>
    </w:p>
    <w:p w14:paraId="645B9C05" w14:textId="77777777" w:rsidR="001C274F" w:rsidRPr="009872A1" w:rsidRDefault="001C274F" w:rsidP="001C274F">
      <w:pPr>
        <w:pStyle w:val="BodyText"/>
      </w:pPr>
      <w:r w:rsidRPr="009872A1">
        <w:rPr>
          <w:i/>
          <w:u w:val="single"/>
        </w:rPr>
        <w:t>Format</w:t>
      </w:r>
      <w:r w:rsidRPr="009872A1">
        <w:t xml:space="preserve"> The main text is set in a single-column format</w:t>
      </w:r>
      <w:r>
        <w:t xml:space="preserve"> using the ‘Body Text' style</w:t>
      </w:r>
      <w:r w:rsidRPr="009872A1">
        <w:t xml:space="preserve">. Text is set in 9 pt Verdana. </w:t>
      </w:r>
      <w:r>
        <w:t>Justify the main text and a</w:t>
      </w:r>
      <w:r w:rsidRPr="009872A1">
        <w:t xml:space="preserve">llow 5 pt line spacing after all paragraphs, headings and captions. Headings are aligned left. </w:t>
      </w:r>
    </w:p>
    <w:p w14:paraId="297D4BA7" w14:textId="77777777" w:rsidR="001C274F" w:rsidRPr="009872A1" w:rsidRDefault="001C274F" w:rsidP="001C274F">
      <w:pPr>
        <w:pStyle w:val="BodyText"/>
      </w:pPr>
      <w:r w:rsidRPr="009872A1">
        <w:rPr>
          <w:i/>
          <w:u w:val="single"/>
        </w:rPr>
        <w:t>Structure</w:t>
      </w:r>
      <w:r w:rsidRPr="009872A1">
        <w:t xml:space="preserve"> Standard components of all papers </w:t>
      </w:r>
      <w:r>
        <w:t>normally follow</w:t>
      </w:r>
      <w:r w:rsidRPr="009872A1">
        <w:t xml:space="preserve"> an introduction, main body, conclusions and a reference list. However, you are encouraged to use an original structural organisation if you think it is more appropriate for your paper.</w:t>
      </w:r>
    </w:p>
    <w:p w14:paraId="46CC055B" w14:textId="77777777" w:rsidR="001C274F" w:rsidRPr="009872A1" w:rsidRDefault="001C274F" w:rsidP="001C274F">
      <w:pPr>
        <w:pStyle w:val="BodyText"/>
      </w:pPr>
      <w:r w:rsidRPr="009872A1">
        <w:rPr>
          <w:i/>
          <w:u w:val="single"/>
        </w:rPr>
        <w:t>Length</w:t>
      </w:r>
      <w:r w:rsidRPr="009872A1">
        <w:t xml:space="preserve"> </w:t>
      </w:r>
      <w:r>
        <w:t xml:space="preserve">Maximum length for papers </w:t>
      </w:r>
      <w:r w:rsidRPr="009872A1">
        <w:t xml:space="preserve">are </w:t>
      </w:r>
      <w:r>
        <w:t xml:space="preserve">given above in words, but also will be assessed for length </w:t>
      </w:r>
      <w:r w:rsidRPr="009872A1">
        <w:t>when formatted according to these guidelines.</w:t>
      </w:r>
    </w:p>
    <w:p w14:paraId="1BF65D09" w14:textId="77777777" w:rsidR="001C274F" w:rsidRPr="009872A1" w:rsidRDefault="001C274F" w:rsidP="001C274F">
      <w:pPr>
        <w:pStyle w:val="BodyText"/>
      </w:pPr>
      <w:r w:rsidRPr="009872A1">
        <w:rPr>
          <w:i/>
          <w:u w:val="single"/>
        </w:rPr>
        <w:t>Heading styles</w:t>
      </w:r>
      <w:r w:rsidRPr="009872A1">
        <w:t xml:space="preserve"> Headings are set in Verdana. They are typed in lower case letters except for the first letter of the first word and any other words that usually require an initial capital letter.</w:t>
      </w:r>
    </w:p>
    <w:p w14:paraId="555BE81A" w14:textId="77777777" w:rsidR="001C274F" w:rsidRPr="009872A1" w:rsidRDefault="001C274F" w:rsidP="001C274F">
      <w:pPr>
        <w:pStyle w:val="ListBullet"/>
        <w:numPr>
          <w:ilvl w:val="0"/>
          <w:numId w:val="7"/>
        </w:numPr>
        <w:tabs>
          <w:tab w:val="clear" w:pos="567"/>
        </w:tabs>
        <w:ind w:left="284" w:hanging="284"/>
      </w:pPr>
      <w:r w:rsidRPr="009872A1">
        <w:t xml:space="preserve">First-level heading is 9 pt Verdana, bold, aligned left, with </w:t>
      </w:r>
      <w:r>
        <w:t>5</w:t>
      </w:r>
      <w:r w:rsidRPr="009872A1">
        <w:t xml:space="preserve"> pt spacing below.</w:t>
      </w:r>
    </w:p>
    <w:p w14:paraId="41E41260" w14:textId="77777777" w:rsidR="001C274F" w:rsidRPr="009872A1" w:rsidRDefault="001C274F" w:rsidP="001C274F">
      <w:pPr>
        <w:pStyle w:val="ListBullet"/>
        <w:numPr>
          <w:ilvl w:val="0"/>
          <w:numId w:val="7"/>
        </w:numPr>
        <w:tabs>
          <w:tab w:val="clear" w:pos="567"/>
        </w:tabs>
        <w:ind w:left="284" w:hanging="284"/>
      </w:pPr>
      <w:r w:rsidRPr="009872A1">
        <w:lastRenderedPageBreak/>
        <w:t xml:space="preserve">Second-level heading is 9 pt Verdana, bold, italic, aligned left, with </w:t>
      </w:r>
      <w:r>
        <w:t>5</w:t>
      </w:r>
      <w:r w:rsidRPr="009872A1">
        <w:t xml:space="preserve"> pt spacing below.</w:t>
      </w:r>
    </w:p>
    <w:p w14:paraId="65A1BA0D" w14:textId="77777777" w:rsidR="001C274F" w:rsidRPr="009872A1" w:rsidRDefault="001C274F" w:rsidP="001C274F">
      <w:pPr>
        <w:pStyle w:val="ListBullet"/>
        <w:numPr>
          <w:ilvl w:val="0"/>
          <w:numId w:val="7"/>
        </w:numPr>
        <w:tabs>
          <w:tab w:val="clear" w:pos="567"/>
        </w:tabs>
        <w:ind w:left="284" w:hanging="284"/>
      </w:pPr>
      <w:r w:rsidRPr="009872A1">
        <w:t xml:space="preserve">Third-level heading is 9 pt Verdana, italic, underlined, aligned left, with </w:t>
      </w:r>
      <w:r>
        <w:t>t</w:t>
      </w:r>
      <w:r w:rsidRPr="009872A1">
        <w:t xml:space="preserve">he main text </w:t>
      </w:r>
      <w:r>
        <w:t xml:space="preserve">following </w:t>
      </w:r>
      <w:r w:rsidRPr="009872A1">
        <w:t xml:space="preserve">the heading. </w:t>
      </w:r>
    </w:p>
    <w:p w14:paraId="086B6203" w14:textId="77777777" w:rsidR="001C274F" w:rsidRPr="009872A1" w:rsidRDefault="001C274F" w:rsidP="001C274F">
      <w:pPr>
        <w:pStyle w:val="BodyText"/>
      </w:pPr>
      <w:r w:rsidRPr="009872A1">
        <w:rPr>
          <w:i/>
          <w:u w:val="single"/>
        </w:rPr>
        <w:t>Bullet points and lists</w:t>
      </w:r>
      <w:r w:rsidRPr="009872A1">
        <w:t xml:space="preserve"> The procedure recommended in Snooks &amp; Co. (2002)</w:t>
      </w:r>
      <w:r w:rsidR="00CE3F72" w:rsidRPr="009872A1">
        <w:fldChar w:fldCharType="begin"/>
      </w:r>
      <w:r w:rsidRPr="009872A1">
        <w:instrText xml:space="preserve"> XE "Snooks &amp; Co. (2002)" </w:instrText>
      </w:r>
      <w:r w:rsidR="00CE3F72" w:rsidRPr="009872A1">
        <w:fldChar w:fldCharType="end"/>
      </w:r>
      <w:r w:rsidRPr="009872A1">
        <w:t xml:space="preserve"> is to distinguish between full sentences and sentence fragments. In the case of full sentences</w:t>
      </w:r>
      <w:r>
        <w:t>,</w:t>
      </w:r>
      <w:r w:rsidRPr="009872A1">
        <w:t xml:space="preserve"> </w:t>
      </w:r>
      <w:r>
        <w:t xml:space="preserve">use </w:t>
      </w:r>
      <w:r w:rsidRPr="009872A1">
        <w:t>the following format:</w:t>
      </w:r>
    </w:p>
    <w:p w14:paraId="1A9BC60A" w14:textId="77777777" w:rsidR="001C274F" w:rsidRPr="009872A1" w:rsidRDefault="001C274F" w:rsidP="001C274F">
      <w:pPr>
        <w:pStyle w:val="ListBullet"/>
        <w:numPr>
          <w:ilvl w:val="0"/>
          <w:numId w:val="7"/>
        </w:numPr>
        <w:tabs>
          <w:tab w:val="clear" w:pos="567"/>
        </w:tabs>
        <w:ind w:left="284" w:hanging="284"/>
      </w:pPr>
      <w:r w:rsidRPr="009872A1">
        <w:t>A colon is used to lead in to the list.</w:t>
      </w:r>
    </w:p>
    <w:p w14:paraId="650922E8" w14:textId="77777777" w:rsidR="001C274F" w:rsidRPr="009872A1" w:rsidRDefault="001C274F" w:rsidP="001C274F">
      <w:pPr>
        <w:pStyle w:val="ListBullet"/>
        <w:numPr>
          <w:ilvl w:val="0"/>
          <w:numId w:val="7"/>
        </w:numPr>
        <w:tabs>
          <w:tab w:val="clear" w:pos="567"/>
        </w:tabs>
        <w:ind w:left="284" w:hanging="284"/>
      </w:pPr>
      <w:r w:rsidRPr="009872A1">
        <w:t>Capitals are used at the beginning because they are complete sentences.</w:t>
      </w:r>
    </w:p>
    <w:p w14:paraId="2A8CFDBE" w14:textId="77777777" w:rsidR="001C274F" w:rsidRPr="009872A1" w:rsidRDefault="001C274F" w:rsidP="001C274F">
      <w:pPr>
        <w:pStyle w:val="ListBullet"/>
        <w:numPr>
          <w:ilvl w:val="0"/>
          <w:numId w:val="7"/>
        </w:numPr>
        <w:tabs>
          <w:tab w:val="clear" w:pos="567"/>
        </w:tabs>
        <w:ind w:left="284" w:hanging="284"/>
      </w:pPr>
      <w:r w:rsidRPr="009872A1">
        <w:t xml:space="preserve">Punctuation is the same as would be used in a normal sentence and </w:t>
      </w:r>
      <w:r>
        <w:t xml:space="preserve">there is </w:t>
      </w:r>
      <w:r w:rsidRPr="009872A1">
        <w:t>a full stop at the end.</w:t>
      </w:r>
    </w:p>
    <w:p w14:paraId="7DEF253B" w14:textId="77777777" w:rsidR="001C274F" w:rsidRPr="009872A1" w:rsidRDefault="001C274F" w:rsidP="001C274F">
      <w:pPr>
        <w:pStyle w:val="BodyText"/>
      </w:pPr>
      <w:r w:rsidRPr="009872A1">
        <w:t>In the case of sentence fragments, the format is as follows:</w:t>
      </w:r>
    </w:p>
    <w:p w14:paraId="5A744603" w14:textId="77777777" w:rsidR="001C274F" w:rsidRPr="009872A1" w:rsidRDefault="001C274F" w:rsidP="001C274F">
      <w:pPr>
        <w:pStyle w:val="ListBullet"/>
        <w:numPr>
          <w:ilvl w:val="0"/>
          <w:numId w:val="7"/>
        </w:numPr>
        <w:tabs>
          <w:tab w:val="clear" w:pos="567"/>
        </w:tabs>
        <w:ind w:left="284" w:hanging="284"/>
      </w:pPr>
      <w:r w:rsidRPr="009872A1">
        <w:t>bullet items part of sentence</w:t>
      </w:r>
    </w:p>
    <w:p w14:paraId="39AECB6A" w14:textId="77777777" w:rsidR="001C274F" w:rsidRPr="009872A1" w:rsidRDefault="001C274F" w:rsidP="001C274F">
      <w:pPr>
        <w:pStyle w:val="ListBullet"/>
        <w:numPr>
          <w:ilvl w:val="0"/>
          <w:numId w:val="7"/>
        </w:numPr>
        <w:tabs>
          <w:tab w:val="clear" w:pos="567"/>
        </w:tabs>
        <w:ind w:left="284" w:hanging="284"/>
      </w:pPr>
      <w:r w:rsidRPr="009872A1">
        <w:t>no punctuation at end of points except last</w:t>
      </w:r>
    </w:p>
    <w:p w14:paraId="01BE71AF" w14:textId="77777777" w:rsidR="001C274F" w:rsidRPr="009872A1" w:rsidRDefault="001C274F" w:rsidP="001C274F">
      <w:pPr>
        <w:pStyle w:val="ListBullet2"/>
        <w:numPr>
          <w:ilvl w:val="0"/>
          <w:numId w:val="8"/>
        </w:numPr>
        <w:ind w:left="568" w:hanging="284"/>
      </w:pPr>
      <w:r w:rsidRPr="009872A1">
        <w:t>use spacing instead</w:t>
      </w:r>
    </w:p>
    <w:p w14:paraId="021C07B1" w14:textId="77777777" w:rsidR="001C274F" w:rsidRPr="009872A1" w:rsidRDefault="001C274F" w:rsidP="001C274F">
      <w:pPr>
        <w:pStyle w:val="ListBullet2"/>
        <w:numPr>
          <w:ilvl w:val="0"/>
          <w:numId w:val="8"/>
        </w:numPr>
        <w:ind w:left="568" w:hanging="284"/>
      </w:pPr>
      <w:r w:rsidRPr="009872A1">
        <w:t>no colon for second-level indentation</w:t>
      </w:r>
    </w:p>
    <w:p w14:paraId="085FBEDD" w14:textId="77777777" w:rsidR="001C274F" w:rsidRPr="009872A1" w:rsidRDefault="001C274F" w:rsidP="001C274F">
      <w:pPr>
        <w:pStyle w:val="ListBullet"/>
        <w:numPr>
          <w:ilvl w:val="0"/>
          <w:numId w:val="7"/>
        </w:numPr>
        <w:tabs>
          <w:tab w:val="clear" w:pos="567"/>
        </w:tabs>
        <w:ind w:left="284" w:hanging="284"/>
      </w:pPr>
      <w:r w:rsidRPr="009872A1">
        <w:t>no capitals for items</w:t>
      </w:r>
    </w:p>
    <w:p w14:paraId="5C29D92E" w14:textId="77777777" w:rsidR="001C274F" w:rsidRPr="009872A1" w:rsidRDefault="001C274F" w:rsidP="001C274F">
      <w:pPr>
        <w:pStyle w:val="ListBullet"/>
        <w:numPr>
          <w:ilvl w:val="0"/>
          <w:numId w:val="7"/>
        </w:numPr>
        <w:tabs>
          <w:tab w:val="clear" w:pos="567"/>
        </w:tabs>
        <w:ind w:left="284" w:hanging="284"/>
      </w:pPr>
      <w:r w:rsidRPr="009872A1">
        <w:t xml:space="preserve">no need for </w:t>
      </w:r>
      <w:r w:rsidRPr="009872A1">
        <w:rPr>
          <w:i/>
        </w:rPr>
        <w:t>and</w:t>
      </w:r>
      <w:r w:rsidRPr="009872A1">
        <w:t xml:space="preserve"> after second-last point.</w:t>
      </w:r>
    </w:p>
    <w:p w14:paraId="4C7D9511" w14:textId="77777777" w:rsidR="001C274F" w:rsidRPr="009872A1" w:rsidRDefault="001C274F" w:rsidP="001C274F">
      <w:pPr>
        <w:pStyle w:val="BodyText"/>
      </w:pPr>
      <w:r w:rsidRPr="009872A1">
        <w:t xml:space="preserve">A hierarchical list or a sequential list may use leading numbers (e.g. 1. or letters (a)). Use the same principle for punctuations as indicated above for sentences and sentence fragments. The </w:t>
      </w:r>
      <w:r>
        <w:t>Quick Style Gallery</w:t>
      </w:r>
      <w:r w:rsidRPr="009872A1">
        <w:t xml:space="preserve"> contains the </w:t>
      </w:r>
      <w:r>
        <w:t>‘</w:t>
      </w:r>
      <w:r w:rsidRPr="009872A1">
        <w:t>List bullet</w:t>
      </w:r>
      <w:r>
        <w:t>’</w:t>
      </w:r>
      <w:r w:rsidRPr="009872A1">
        <w:t xml:space="preserve"> and </w:t>
      </w:r>
      <w:r>
        <w:t>‘</w:t>
      </w:r>
      <w:r w:rsidRPr="009872A1">
        <w:t>List Number</w:t>
      </w:r>
      <w:r>
        <w:t>’</w:t>
      </w:r>
      <w:r w:rsidRPr="009872A1">
        <w:t xml:space="preserve"> styles in the</w:t>
      </w:r>
      <w:r>
        <w:t>ir</w:t>
      </w:r>
      <w:r w:rsidRPr="009872A1">
        <w:t xml:space="preserve"> appropriate formats.</w:t>
      </w:r>
    </w:p>
    <w:p w14:paraId="08CC8F43" w14:textId="77777777" w:rsidR="001C274F" w:rsidRPr="009872A1" w:rsidRDefault="001C274F" w:rsidP="001C274F">
      <w:pPr>
        <w:pStyle w:val="Heading2"/>
      </w:pPr>
      <w:r w:rsidRPr="009872A1">
        <w:t>Abbreviations</w:t>
      </w:r>
    </w:p>
    <w:p w14:paraId="2AA0A7E7" w14:textId="77777777" w:rsidR="001C274F" w:rsidRPr="009872A1" w:rsidRDefault="001C274F" w:rsidP="001C274F">
      <w:pPr>
        <w:pStyle w:val="BodyText"/>
      </w:pPr>
      <w:r w:rsidRPr="009872A1">
        <w:t>Abbreviations include the first letter of the word and usually some other letters but do not include the last letter. In this case, capitals are the same as the unabbreviated word and a full stop is used after the abbreviation as shown in the examples below:</w:t>
      </w:r>
    </w:p>
    <w:p w14:paraId="705602FC" w14:textId="77777777" w:rsidR="001C274F" w:rsidRPr="009872A1" w:rsidRDefault="001C274F" w:rsidP="001C274F">
      <w:pPr>
        <w:pStyle w:val="ListBullet"/>
        <w:numPr>
          <w:ilvl w:val="0"/>
          <w:numId w:val="7"/>
        </w:numPr>
        <w:tabs>
          <w:tab w:val="clear" w:pos="567"/>
        </w:tabs>
        <w:ind w:left="284" w:hanging="284"/>
      </w:pPr>
      <w:r w:rsidRPr="009872A1">
        <w:t>para.  fig.  Mon.  p.  Jan.  Mar.  (May, June, July are not abbreviated)</w:t>
      </w:r>
    </w:p>
    <w:p w14:paraId="2EBD74FC" w14:textId="77777777" w:rsidR="001C274F" w:rsidRPr="009872A1" w:rsidRDefault="001C274F" w:rsidP="001C274F">
      <w:pPr>
        <w:pStyle w:val="ListBullet"/>
        <w:numPr>
          <w:ilvl w:val="0"/>
          <w:numId w:val="7"/>
        </w:numPr>
        <w:tabs>
          <w:tab w:val="clear" w:pos="567"/>
        </w:tabs>
        <w:ind w:left="284" w:hanging="284"/>
      </w:pPr>
      <w:r w:rsidRPr="009872A1">
        <w:t>Once an abbreviation has been defined, for example tricarboxylic acid (TCA), then only the abbreviated form is used.</w:t>
      </w:r>
    </w:p>
    <w:p w14:paraId="353DAFB4" w14:textId="77777777" w:rsidR="001C274F" w:rsidRPr="009872A1" w:rsidRDefault="001C274F" w:rsidP="001C274F">
      <w:pPr>
        <w:pStyle w:val="BodyText"/>
      </w:pPr>
      <w:r w:rsidRPr="009872A1">
        <w:t>Contractions include the first and last letters and usually some in between. Capitals are the same as the uncontracted word and there is no full stop as shown below:</w:t>
      </w:r>
    </w:p>
    <w:p w14:paraId="1A8A6329" w14:textId="77777777" w:rsidR="001C274F" w:rsidRPr="009872A1" w:rsidRDefault="001C274F" w:rsidP="001C274F">
      <w:pPr>
        <w:pStyle w:val="ListBullet"/>
        <w:numPr>
          <w:ilvl w:val="0"/>
          <w:numId w:val="7"/>
        </w:numPr>
        <w:tabs>
          <w:tab w:val="clear" w:pos="567"/>
        </w:tabs>
        <w:ind w:left="284" w:hanging="284"/>
      </w:pPr>
      <w:r w:rsidRPr="009872A1">
        <w:t xml:space="preserve">Mr  Mrs </w:t>
      </w:r>
      <w:r>
        <w:t xml:space="preserve"> </w:t>
      </w:r>
      <w:r w:rsidRPr="009872A1">
        <w:t>Ms Dr  Dept  Pty Ltd  figs  vols  nos  Qld</w:t>
      </w:r>
      <w:r>
        <w:t>.</w:t>
      </w:r>
    </w:p>
    <w:p w14:paraId="4A0ADC68" w14:textId="77777777" w:rsidR="001C274F" w:rsidRPr="009872A1" w:rsidRDefault="001C274F" w:rsidP="001C274F">
      <w:pPr>
        <w:pStyle w:val="BodyText"/>
      </w:pPr>
      <w:r w:rsidRPr="009872A1">
        <w:rPr>
          <w:i/>
          <w:u w:val="single"/>
        </w:rPr>
        <w:t>Latin shortened forms</w:t>
      </w:r>
      <w:r w:rsidRPr="009872A1">
        <w:t xml:space="preserve"> Many Latin shortened forms are commonly used</w:t>
      </w:r>
      <w:r>
        <w:t xml:space="preserve"> and are not italicised if they are in the </w:t>
      </w:r>
      <w:r>
        <w:rPr>
          <w:i/>
        </w:rPr>
        <w:t>Macquarie Dictionary</w:t>
      </w:r>
      <w:r w:rsidRPr="009872A1">
        <w:t>. Note that all of these shortened forms contain at least one full stop:</w:t>
      </w:r>
    </w:p>
    <w:p w14:paraId="1DB66AAF" w14:textId="77777777" w:rsidR="001C274F" w:rsidRPr="009872A1" w:rsidRDefault="001C274F" w:rsidP="0019508F">
      <w:pPr>
        <w:pStyle w:val="ListBullet"/>
      </w:pPr>
      <w:r w:rsidRPr="009872A1">
        <w:t>e.g. (for example)</w:t>
      </w:r>
    </w:p>
    <w:p w14:paraId="7A277A70" w14:textId="77777777" w:rsidR="001C274F" w:rsidRPr="009872A1" w:rsidRDefault="001C274F" w:rsidP="001C274F">
      <w:pPr>
        <w:pStyle w:val="ListBullet"/>
        <w:numPr>
          <w:ilvl w:val="0"/>
          <w:numId w:val="7"/>
        </w:numPr>
        <w:tabs>
          <w:tab w:val="clear" w:pos="567"/>
        </w:tabs>
        <w:ind w:left="284" w:hanging="284"/>
      </w:pPr>
      <w:r w:rsidRPr="009872A1">
        <w:t>et al. (and others)</w:t>
      </w:r>
    </w:p>
    <w:p w14:paraId="579103BC" w14:textId="77777777" w:rsidR="001C274F" w:rsidRPr="009872A1" w:rsidRDefault="001C274F" w:rsidP="001C274F">
      <w:pPr>
        <w:pStyle w:val="ListBullet"/>
        <w:numPr>
          <w:ilvl w:val="0"/>
          <w:numId w:val="7"/>
        </w:numPr>
        <w:tabs>
          <w:tab w:val="clear" w:pos="567"/>
        </w:tabs>
        <w:ind w:left="284" w:hanging="284"/>
      </w:pPr>
      <w:r w:rsidRPr="009872A1">
        <w:t>etc. (and so on)</w:t>
      </w:r>
    </w:p>
    <w:p w14:paraId="7149369C" w14:textId="77777777" w:rsidR="001C274F" w:rsidRPr="009872A1" w:rsidRDefault="001C274F" w:rsidP="001C274F">
      <w:pPr>
        <w:pStyle w:val="ListBullet"/>
        <w:numPr>
          <w:ilvl w:val="0"/>
          <w:numId w:val="7"/>
        </w:numPr>
        <w:tabs>
          <w:tab w:val="clear" w:pos="567"/>
        </w:tabs>
        <w:ind w:left="284" w:hanging="284"/>
      </w:pPr>
      <w:r w:rsidRPr="009872A1">
        <w:t>i.e. (that is)</w:t>
      </w:r>
    </w:p>
    <w:p w14:paraId="20C0ED6B" w14:textId="77777777" w:rsidR="001C274F" w:rsidRPr="009872A1" w:rsidRDefault="001C274F" w:rsidP="001C274F">
      <w:pPr>
        <w:pStyle w:val="ListBullet"/>
        <w:numPr>
          <w:ilvl w:val="0"/>
          <w:numId w:val="7"/>
        </w:numPr>
        <w:tabs>
          <w:tab w:val="clear" w:pos="567"/>
        </w:tabs>
        <w:ind w:left="284" w:hanging="284"/>
      </w:pPr>
      <w:r w:rsidRPr="009872A1">
        <w:t>viz. (namely).</w:t>
      </w:r>
    </w:p>
    <w:p w14:paraId="2460E755" w14:textId="77777777" w:rsidR="001C274F" w:rsidRPr="009872A1" w:rsidRDefault="001C274F" w:rsidP="001C274F">
      <w:pPr>
        <w:pStyle w:val="BodyText"/>
      </w:pPr>
      <w:r w:rsidRPr="009872A1">
        <w:rPr>
          <w:i/>
          <w:u w:val="single"/>
        </w:rPr>
        <w:t>Plurals</w:t>
      </w:r>
      <w:r w:rsidRPr="009872A1">
        <w:t xml:space="preserve"> When plurals are made of shortened forms by adding an ‘s’, no apostrophe or full stop is used</w:t>
      </w:r>
      <w:r>
        <w:t xml:space="preserve">, e.g. </w:t>
      </w:r>
      <w:r w:rsidRPr="009872A1">
        <w:t>LCDCs  paras  1990s  nos  figs</w:t>
      </w:r>
      <w:r>
        <w:t xml:space="preserve">. </w:t>
      </w:r>
      <w:r w:rsidRPr="009872A1">
        <w:t>In a few cases</w:t>
      </w:r>
      <w:r>
        <w:t>,</w:t>
      </w:r>
      <w:r w:rsidRPr="009872A1">
        <w:t xml:space="preserve"> the plural is formed by repeating a letter with a full stop at the end, for example pp. for pages.</w:t>
      </w:r>
    </w:p>
    <w:p w14:paraId="349769F7" w14:textId="77777777" w:rsidR="001C274F" w:rsidRPr="009872A1" w:rsidRDefault="001C274F" w:rsidP="001C274F">
      <w:pPr>
        <w:pStyle w:val="Heading2"/>
      </w:pPr>
      <w:bookmarkStart w:id="1" w:name="_Toc36998593"/>
      <w:bookmarkStart w:id="2" w:name="_Toc289951759"/>
      <w:r w:rsidRPr="009872A1">
        <w:t>Numbers, measurements and equations</w:t>
      </w:r>
      <w:bookmarkEnd w:id="1"/>
      <w:bookmarkEnd w:id="2"/>
    </w:p>
    <w:p w14:paraId="2FC90A83" w14:textId="77777777" w:rsidR="001C274F" w:rsidRPr="009872A1" w:rsidRDefault="001C274F" w:rsidP="001C274F">
      <w:pPr>
        <w:pStyle w:val="BodyText"/>
      </w:pPr>
      <w:bookmarkStart w:id="3" w:name="_Toc36998594"/>
      <w:bookmarkStart w:id="4" w:name="_Toc289951760"/>
      <w:r w:rsidRPr="009872A1">
        <w:rPr>
          <w:i/>
          <w:u w:val="single"/>
        </w:rPr>
        <w:t>Using words or numerals</w:t>
      </w:r>
      <w:bookmarkEnd w:id="3"/>
      <w:bookmarkEnd w:id="4"/>
      <w:r w:rsidRPr="009872A1">
        <w:t xml:space="preserve"> When opening a sentence, a number is always expressed in words:</w:t>
      </w:r>
    </w:p>
    <w:p w14:paraId="4EA51F00" w14:textId="77777777" w:rsidR="001C274F" w:rsidRPr="009872A1" w:rsidRDefault="001C274F" w:rsidP="001C274F">
      <w:pPr>
        <w:pStyle w:val="ListBullet"/>
        <w:numPr>
          <w:ilvl w:val="0"/>
          <w:numId w:val="7"/>
        </w:numPr>
        <w:tabs>
          <w:tab w:val="clear" w:pos="567"/>
        </w:tabs>
        <w:ind w:left="284" w:hanging="284"/>
      </w:pPr>
      <w:r w:rsidRPr="009872A1">
        <w:t>Fifty per cent of respondents were greater than 50 years old.</w:t>
      </w:r>
    </w:p>
    <w:p w14:paraId="2FA333EB" w14:textId="77777777" w:rsidR="001C274F" w:rsidRPr="009872A1" w:rsidRDefault="001C274F" w:rsidP="001C274F">
      <w:pPr>
        <w:pStyle w:val="BodyText"/>
      </w:pPr>
      <w:r w:rsidRPr="009872A1">
        <w:t>Within the text, numbers less than 10 are expressed in words not text, and numerals are used for numbers over nine (10, 11, 12). Where a symbol accompanies a number, numerals are always used, e.g. 9 ml was recommended. Note that a space is always left between the numeral and the symbol, except where it is a currency symbol, a percentage sign or where a plus or minus sign is used to indicate a positive or negative number.</w:t>
      </w:r>
    </w:p>
    <w:p w14:paraId="230B8DF2" w14:textId="77777777" w:rsidR="001C274F" w:rsidRPr="009872A1" w:rsidRDefault="001C274F" w:rsidP="001C274F">
      <w:pPr>
        <w:pStyle w:val="BodyText"/>
      </w:pPr>
      <w:bookmarkStart w:id="5" w:name="_Toc36998595"/>
      <w:bookmarkStart w:id="6" w:name="_Toc289951761"/>
      <w:r w:rsidRPr="009872A1">
        <w:rPr>
          <w:i/>
          <w:u w:val="single"/>
        </w:rPr>
        <w:t>SI Units (International System of Units)</w:t>
      </w:r>
      <w:bookmarkEnd w:id="5"/>
      <w:bookmarkEnd w:id="6"/>
      <w:r w:rsidRPr="009872A1">
        <w:t>:</w:t>
      </w:r>
    </w:p>
    <w:p w14:paraId="0D515303" w14:textId="77777777" w:rsidR="001C274F" w:rsidRPr="009872A1" w:rsidRDefault="001C274F" w:rsidP="001C274F">
      <w:pPr>
        <w:pStyle w:val="ListBullet"/>
        <w:numPr>
          <w:ilvl w:val="0"/>
          <w:numId w:val="7"/>
        </w:numPr>
        <w:tabs>
          <w:tab w:val="clear" w:pos="567"/>
          <w:tab w:val="left" w:pos="1985"/>
        </w:tabs>
        <w:ind w:left="284" w:hanging="284"/>
      </w:pPr>
      <w:r w:rsidRPr="009872A1">
        <w:t>length</w:t>
      </w:r>
      <w:r w:rsidRPr="009872A1">
        <w:tab/>
        <w:t>m (metre), mm (millimetre), [cm is generally not used]</w:t>
      </w:r>
    </w:p>
    <w:p w14:paraId="03EA4241" w14:textId="77777777" w:rsidR="001C274F" w:rsidRPr="009872A1" w:rsidRDefault="001C274F" w:rsidP="001C274F">
      <w:pPr>
        <w:pStyle w:val="ListBullet"/>
        <w:numPr>
          <w:ilvl w:val="0"/>
          <w:numId w:val="7"/>
        </w:numPr>
        <w:tabs>
          <w:tab w:val="clear" w:pos="567"/>
          <w:tab w:val="left" w:pos="1985"/>
        </w:tabs>
        <w:ind w:left="284" w:hanging="284"/>
      </w:pPr>
      <w:r w:rsidRPr="009872A1">
        <w:t>mass</w:t>
      </w:r>
      <w:r w:rsidRPr="009872A1">
        <w:tab/>
        <w:t>t (tonne), kg (kilogram), g (gram)</w:t>
      </w:r>
    </w:p>
    <w:p w14:paraId="4CFC78E0" w14:textId="77777777" w:rsidR="001C274F" w:rsidRPr="009872A1" w:rsidRDefault="001C274F" w:rsidP="001C274F">
      <w:pPr>
        <w:pStyle w:val="ListBullet"/>
        <w:numPr>
          <w:ilvl w:val="0"/>
          <w:numId w:val="7"/>
        </w:numPr>
        <w:tabs>
          <w:tab w:val="clear" w:pos="567"/>
          <w:tab w:val="left" w:pos="1985"/>
        </w:tabs>
        <w:ind w:left="284" w:hanging="284"/>
      </w:pPr>
      <w:r w:rsidRPr="009872A1">
        <w:t>volume</w:t>
      </w:r>
      <w:r w:rsidRPr="009872A1">
        <w:tab/>
      </w:r>
      <w:r w:rsidR="00325B28">
        <w:t>l</w:t>
      </w:r>
      <w:r w:rsidRPr="009872A1">
        <w:t xml:space="preserve"> (litre), m</w:t>
      </w:r>
      <w:r w:rsidR="00325B28">
        <w:t>l</w:t>
      </w:r>
      <w:r w:rsidRPr="009872A1">
        <w:t xml:space="preserve"> (millilitre)</w:t>
      </w:r>
    </w:p>
    <w:p w14:paraId="0CB60B3C" w14:textId="77777777" w:rsidR="001C274F" w:rsidRPr="009872A1" w:rsidRDefault="001C274F" w:rsidP="001C274F">
      <w:pPr>
        <w:pStyle w:val="ListBullet"/>
        <w:numPr>
          <w:ilvl w:val="0"/>
          <w:numId w:val="7"/>
        </w:numPr>
        <w:tabs>
          <w:tab w:val="clear" w:pos="567"/>
          <w:tab w:val="left" w:pos="1985"/>
        </w:tabs>
        <w:ind w:left="284" w:hanging="284"/>
      </w:pPr>
      <w:r w:rsidRPr="009872A1">
        <w:t>time</w:t>
      </w:r>
      <w:r w:rsidRPr="009872A1">
        <w:tab/>
        <w:t>d (day), h (hour), min (minute), s (second)</w:t>
      </w:r>
    </w:p>
    <w:p w14:paraId="3ED9B8D1" w14:textId="77777777" w:rsidR="001C274F" w:rsidRPr="009872A1" w:rsidRDefault="001C274F" w:rsidP="001C274F">
      <w:pPr>
        <w:pStyle w:val="ListBullet"/>
        <w:numPr>
          <w:ilvl w:val="0"/>
          <w:numId w:val="7"/>
        </w:numPr>
        <w:tabs>
          <w:tab w:val="clear" w:pos="567"/>
          <w:tab w:val="left" w:pos="1985"/>
        </w:tabs>
        <w:ind w:left="284" w:hanging="284"/>
      </w:pPr>
      <w:r w:rsidRPr="009872A1">
        <w:lastRenderedPageBreak/>
        <w:t>area</w:t>
      </w:r>
      <w:r w:rsidRPr="009872A1">
        <w:tab/>
        <w:t>m</w:t>
      </w:r>
      <w:r w:rsidRPr="009872A1">
        <w:rPr>
          <w:vertAlign w:val="superscript"/>
        </w:rPr>
        <w:t>2</w:t>
      </w:r>
      <w:r w:rsidRPr="009872A1">
        <w:t xml:space="preserve"> (square metre), ha (hectare)</w:t>
      </w:r>
    </w:p>
    <w:p w14:paraId="4193F05C" w14:textId="77777777" w:rsidR="001C274F" w:rsidRPr="009872A1" w:rsidRDefault="001C274F" w:rsidP="001C274F">
      <w:pPr>
        <w:pStyle w:val="ListBullet"/>
        <w:numPr>
          <w:ilvl w:val="0"/>
          <w:numId w:val="7"/>
        </w:numPr>
        <w:tabs>
          <w:tab w:val="clear" w:pos="567"/>
          <w:tab w:val="left" w:pos="1985"/>
        </w:tabs>
        <w:ind w:left="284" w:hanging="284"/>
      </w:pPr>
      <w:r w:rsidRPr="009872A1">
        <w:t>speed, velocity</w:t>
      </w:r>
      <w:r w:rsidRPr="009872A1">
        <w:tab/>
        <w:t>m/s or m s</w:t>
      </w:r>
      <w:r w:rsidRPr="009872A1">
        <w:rPr>
          <w:vertAlign w:val="superscript"/>
        </w:rPr>
        <w:t>-1</w:t>
      </w:r>
      <w:r w:rsidRPr="009872A1">
        <w:t xml:space="preserve"> (metres per second)</w:t>
      </w:r>
    </w:p>
    <w:p w14:paraId="6378C95E" w14:textId="77777777" w:rsidR="001C274F" w:rsidRPr="009872A1" w:rsidRDefault="001C274F" w:rsidP="001C274F">
      <w:pPr>
        <w:pStyle w:val="ListBullet"/>
        <w:numPr>
          <w:ilvl w:val="0"/>
          <w:numId w:val="7"/>
        </w:numPr>
        <w:tabs>
          <w:tab w:val="clear" w:pos="567"/>
          <w:tab w:val="left" w:pos="1985"/>
        </w:tabs>
        <w:ind w:left="284" w:hanging="284"/>
      </w:pPr>
      <w:r w:rsidRPr="009872A1">
        <w:t>bulk density</w:t>
      </w:r>
      <w:r w:rsidRPr="009872A1">
        <w:tab/>
        <w:t>g/cm</w:t>
      </w:r>
      <w:r w:rsidRPr="009872A1">
        <w:rPr>
          <w:vertAlign w:val="superscript"/>
        </w:rPr>
        <w:t>3</w:t>
      </w:r>
      <w:r>
        <w:t>.</w:t>
      </w:r>
    </w:p>
    <w:p w14:paraId="2BD21416" w14:textId="77777777" w:rsidR="001C274F" w:rsidRPr="00366971" w:rsidRDefault="001C274F" w:rsidP="001C274F">
      <w:pPr>
        <w:pStyle w:val="BodyText"/>
      </w:pPr>
      <w:bookmarkStart w:id="7" w:name="_Toc36998596"/>
      <w:bookmarkStart w:id="8" w:name="_Toc289951762"/>
      <w:r w:rsidRPr="009872A1">
        <w:rPr>
          <w:i/>
          <w:u w:val="single"/>
        </w:rPr>
        <w:t>Using per</w:t>
      </w:r>
      <w:bookmarkEnd w:id="7"/>
      <w:bookmarkEnd w:id="8"/>
      <w:r w:rsidRPr="009872A1">
        <w:t xml:space="preserve"> Per is only used with the spelt-out names of units while the forward slash is used with symbols, e.g. 75 kilometres per hour, or 75 km/h, or 75 km h</w:t>
      </w:r>
      <w:r w:rsidRPr="009872A1">
        <w:rPr>
          <w:vertAlign w:val="superscript"/>
        </w:rPr>
        <w:t>-1</w:t>
      </w:r>
      <w:r>
        <w:t>.</w:t>
      </w:r>
    </w:p>
    <w:p w14:paraId="355949EA" w14:textId="77777777" w:rsidR="001C274F" w:rsidRPr="009872A1" w:rsidRDefault="001C274F" w:rsidP="001C274F">
      <w:bookmarkStart w:id="9" w:name="_Toc289951763"/>
      <w:r w:rsidRPr="009872A1">
        <w:rPr>
          <w:i/>
          <w:u w:val="single"/>
        </w:rPr>
        <w:t>Statistics</w:t>
      </w:r>
      <w:r w:rsidRPr="009872A1">
        <w:t xml:space="preserve"> Use italics for statistical symbols:</w:t>
      </w:r>
    </w:p>
    <w:p w14:paraId="3D755925" w14:textId="77777777" w:rsidR="001C274F" w:rsidRPr="009872A1" w:rsidRDefault="001C274F" w:rsidP="001C274F">
      <w:pPr>
        <w:pStyle w:val="ListBullet"/>
        <w:numPr>
          <w:ilvl w:val="0"/>
          <w:numId w:val="7"/>
        </w:numPr>
        <w:tabs>
          <w:tab w:val="clear" w:pos="567"/>
        </w:tabs>
        <w:ind w:left="284" w:hanging="284"/>
      </w:pPr>
      <w:r w:rsidRPr="009872A1">
        <w:t>… result was statistically significant (</w:t>
      </w:r>
      <w:r w:rsidRPr="009872A1">
        <w:rPr>
          <w:i/>
        </w:rPr>
        <w:t>p</w:t>
      </w:r>
      <w:r w:rsidRPr="009872A1">
        <w:t xml:space="preserve"> = 0.013); or … significance level (</w:t>
      </w:r>
      <w:r w:rsidRPr="009872A1">
        <w:rPr>
          <w:i/>
        </w:rPr>
        <w:t>p</w:t>
      </w:r>
      <w:r w:rsidRPr="009872A1">
        <w:t xml:space="preserve"> &lt; 0.05).</w:t>
      </w:r>
    </w:p>
    <w:p w14:paraId="59E9B0B0" w14:textId="77777777" w:rsidR="001C274F" w:rsidRPr="009872A1" w:rsidRDefault="001C274F" w:rsidP="001C274F">
      <w:pPr>
        <w:pStyle w:val="ListBullet"/>
        <w:numPr>
          <w:ilvl w:val="0"/>
          <w:numId w:val="7"/>
        </w:numPr>
        <w:tabs>
          <w:tab w:val="clear" w:pos="567"/>
        </w:tabs>
        <w:ind w:left="284" w:hanging="284"/>
      </w:pPr>
      <w:r w:rsidRPr="009872A1">
        <w:rPr>
          <w:i/>
        </w:rPr>
        <w:t>N</w:t>
      </w:r>
      <w:r w:rsidRPr="009872A1">
        <w:t xml:space="preserve"> = 250 for </w:t>
      </w:r>
      <w:r>
        <w:t xml:space="preserve">the </w:t>
      </w:r>
      <w:r w:rsidRPr="009872A1">
        <w:t xml:space="preserve">number in total sample and </w:t>
      </w:r>
      <w:r w:rsidRPr="009872A1">
        <w:rPr>
          <w:i/>
        </w:rPr>
        <w:t>n</w:t>
      </w:r>
      <w:r w:rsidRPr="009872A1">
        <w:t xml:space="preserve"> = for a portion of the sample.</w:t>
      </w:r>
    </w:p>
    <w:p w14:paraId="752C3E61" w14:textId="77777777" w:rsidR="001C274F" w:rsidRPr="009872A1" w:rsidRDefault="001C274F" w:rsidP="001C274F">
      <w:pPr>
        <w:pStyle w:val="BodyText"/>
      </w:pPr>
      <w:r w:rsidRPr="009872A1">
        <w:rPr>
          <w:i/>
          <w:u w:val="single"/>
        </w:rPr>
        <w:t>Equations</w:t>
      </w:r>
      <w:bookmarkEnd w:id="9"/>
      <w:r w:rsidRPr="009872A1">
        <w:t xml:space="preserve"> Snooks and Co. (2002) does not give information on formatting equations so we suggest the following. Word provides an equation editor that produces good quality mathematical symbols for equations. It can be accessed under the Insert menu, select ‘Object’ and then select ‘Microsoft Equation’. Equations should be indented</w:t>
      </w:r>
      <w:r>
        <w:t>,</w:t>
      </w:r>
      <w:r w:rsidRPr="009872A1">
        <w:t xml:space="preserve"> left aligned </w:t>
      </w:r>
      <w:r>
        <w:t xml:space="preserve">and numbered </w:t>
      </w:r>
      <w:r w:rsidRPr="009872A1">
        <w:t>as shown below.</w:t>
      </w:r>
    </w:p>
    <w:p w14:paraId="3D620567" w14:textId="77777777" w:rsidR="001C274F" w:rsidRPr="009872A1" w:rsidRDefault="001C274F" w:rsidP="001C274F">
      <w:pPr>
        <w:pStyle w:val="BlockText"/>
        <w:tabs>
          <w:tab w:val="right" w:pos="8222"/>
        </w:tabs>
      </w:pPr>
      <w:r w:rsidRPr="009872A1">
        <w:rPr>
          <w:position w:val="-34"/>
        </w:rPr>
        <w:object w:dxaOrig="3260" w:dyaOrig="800" w14:anchorId="22C73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1.25pt" o:ole="">
            <v:imagedata r:id="rId8" o:title=""/>
          </v:shape>
          <o:OLEObject Type="Embed" ProgID="Equation.3" ShapeID="_x0000_i1025" DrawAspect="Content" ObjectID="_1678026693" r:id="rId9"/>
        </w:object>
      </w:r>
      <w:r w:rsidRPr="009872A1">
        <w:tab/>
        <w:t>(1)</w:t>
      </w:r>
    </w:p>
    <w:p w14:paraId="74760520" w14:textId="77777777" w:rsidR="001C274F" w:rsidRPr="009872A1" w:rsidRDefault="001C274F" w:rsidP="001C274F">
      <w:pPr>
        <w:pStyle w:val="BodyText"/>
      </w:pPr>
      <w:r w:rsidRPr="009872A1">
        <w:t>However, when using a sequence of equations then they should be aligned on the equal sign as shown below:</w:t>
      </w:r>
    </w:p>
    <w:p w14:paraId="6EAF8C1E" w14:textId="77777777" w:rsidR="001C274F" w:rsidRPr="009872A1" w:rsidRDefault="001C274F" w:rsidP="001C274F">
      <w:pPr>
        <w:pStyle w:val="BlockText"/>
        <w:tabs>
          <w:tab w:val="right" w:pos="8222"/>
        </w:tabs>
      </w:pPr>
      <w:r w:rsidRPr="009872A1">
        <w:rPr>
          <w:position w:val="-28"/>
        </w:rPr>
        <w:object w:dxaOrig="3060" w:dyaOrig="680" w14:anchorId="50C3DEA2">
          <v:shape id="_x0000_i1026" type="#_x0000_t75" style="width:153pt;height:34.5pt" o:ole="">
            <v:imagedata r:id="rId10" o:title=""/>
          </v:shape>
          <o:OLEObject Type="Embed" ProgID="Equation.3" ShapeID="_x0000_i1026" DrawAspect="Content" ObjectID="_1678026694" r:id="rId11"/>
        </w:object>
      </w:r>
      <w:r w:rsidRPr="009872A1">
        <w:tab/>
        <w:t>(2)</w:t>
      </w:r>
    </w:p>
    <w:p w14:paraId="5F9F3F87" w14:textId="77777777" w:rsidR="001C274F" w:rsidRPr="009872A1" w:rsidRDefault="001C274F" w:rsidP="001C274F">
      <w:pPr>
        <w:pStyle w:val="Heading2"/>
      </w:pPr>
      <w:r w:rsidRPr="009872A1">
        <w:t>Tables and graphics</w:t>
      </w:r>
    </w:p>
    <w:p w14:paraId="7B54F5C8" w14:textId="77777777" w:rsidR="001C274F" w:rsidRPr="009872A1" w:rsidRDefault="001C274F" w:rsidP="001C274F">
      <w:pPr>
        <w:pStyle w:val="BodyText"/>
      </w:pPr>
      <w:r w:rsidRPr="009872A1">
        <w:t xml:space="preserve">Place all the tables and graphics where you intend them to go. The editors may reposition tables and graphics at an appropriate location in the final version. </w:t>
      </w:r>
      <w:r w:rsidRPr="00366971">
        <w:rPr>
          <w:b/>
        </w:rPr>
        <w:t>Please construct figures or diagrams in another program (e.g. PowerPoint) and import as a picture</w:t>
      </w:r>
      <w:r w:rsidRPr="009872A1">
        <w:t xml:space="preserve"> as this makes it easier to reposition them. </w:t>
      </w:r>
      <w:r>
        <w:t xml:space="preserve">If you use coloured lines or boxes in graphs ensure the format is different so that they can be distinguished when printed in black and white. </w:t>
      </w:r>
      <w:r w:rsidRPr="009872A1">
        <w:t>It would also be helpful to send the file with these figures in case minor reformats or corrections are required.</w:t>
      </w:r>
    </w:p>
    <w:p w14:paraId="0565EE66" w14:textId="77777777" w:rsidR="001C274F" w:rsidRPr="009872A1" w:rsidRDefault="001C274F" w:rsidP="001C274F">
      <w:pPr>
        <w:pStyle w:val="BodyText"/>
      </w:pPr>
      <w:r w:rsidRPr="009872A1">
        <w:rPr>
          <w:i/>
          <w:u w:val="single"/>
        </w:rPr>
        <w:t>Captions</w:t>
      </w:r>
      <w:r w:rsidRPr="009872A1">
        <w:t xml:space="preserve"> Captions are set in 9 pt </w:t>
      </w:r>
      <w:r>
        <w:t>Verdana, with 5</w:t>
      </w:r>
      <w:r w:rsidRPr="009872A1">
        <w:t xml:space="preserve"> pt spacing below, and centred above the table or graphic. Capital letters are used only for the first word and any words that usually require an initial capital letter. Each caption should have a consecutive number, followed by a full stop, and a summary description of the contents as per the examples inserted within this set of instructions.</w:t>
      </w:r>
    </w:p>
    <w:p w14:paraId="32777288" w14:textId="77777777" w:rsidR="001C274F" w:rsidRPr="009872A1" w:rsidRDefault="001C274F" w:rsidP="001C274F">
      <w:pPr>
        <w:pStyle w:val="BodyText"/>
      </w:pPr>
      <w:r w:rsidRPr="009872A1">
        <w:rPr>
          <w:i/>
          <w:u w:val="single"/>
        </w:rPr>
        <w:t>Sources and explanatory information</w:t>
      </w:r>
      <w:r w:rsidRPr="009872A1">
        <w:t xml:space="preserve"> If the data or graphic is not original work from the author(s) the citation of the source is centred below the table or figure (8 pt Verdana, with </w:t>
      </w:r>
      <w:r>
        <w:t>5</w:t>
      </w:r>
      <w:r w:rsidRPr="009872A1">
        <w:t xml:space="preserve"> pt spacing </w:t>
      </w:r>
      <w:r>
        <w:t>before and after</w:t>
      </w:r>
      <w:r w:rsidRPr="009872A1">
        <w:t xml:space="preserve">). See example </w:t>
      </w:r>
      <w:r>
        <w:t>Table 1</w:t>
      </w:r>
      <w:r w:rsidRPr="009872A1">
        <w:t>. Place explanatory information here also.</w:t>
      </w:r>
      <w:r>
        <w:t xml:space="preserve"> </w:t>
      </w:r>
      <w:r w:rsidRPr="009872A1">
        <w:t xml:space="preserve">Full reference details should be given in the reference list. </w:t>
      </w:r>
    </w:p>
    <w:p w14:paraId="2B719D14" w14:textId="77777777" w:rsidR="001C274F" w:rsidRPr="009872A1" w:rsidRDefault="001C274F" w:rsidP="001C274F">
      <w:pPr>
        <w:pStyle w:val="BodyText"/>
      </w:pPr>
      <w:r w:rsidRPr="009872A1">
        <w:t xml:space="preserve">Table 1, Figure 1 and Plate 1 are examples of preferred formatting for tables, figures and plates. They are centred on the page and below the caption. </w:t>
      </w:r>
      <w:r>
        <w:t xml:space="preserve">Figures shouldn’t have a border around them. </w:t>
      </w:r>
      <w:r w:rsidRPr="009872A1">
        <w:t xml:space="preserve">The template has an </w:t>
      </w:r>
      <w:r>
        <w:t>‘</w:t>
      </w:r>
      <w:r w:rsidRPr="001C43E9">
        <w:rPr>
          <w:i/>
        </w:rPr>
        <w:t>REIS table</w:t>
      </w:r>
      <w:r>
        <w:t>’</w:t>
      </w:r>
      <w:r w:rsidRPr="009872A1">
        <w:t xml:space="preserve"> style</w:t>
      </w:r>
      <w:r>
        <w:t>, which you can use to speed up the formatting process</w:t>
      </w:r>
      <w:r w:rsidRPr="009872A1">
        <w:t xml:space="preserve">. </w:t>
      </w:r>
      <w:r>
        <w:t>The principle is ‘Keep it simple’.</w:t>
      </w:r>
    </w:p>
    <w:p w14:paraId="40A3E1A8" w14:textId="77777777" w:rsidR="001C274F" w:rsidRPr="009872A1" w:rsidRDefault="001C274F" w:rsidP="001C274F">
      <w:pPr>
        <w:pStyle w:val="Caption"/>
      </w:pPr>
      <w:r w:rsidRPr="009872A1">
        <w:t>Table 1. The components (% dry matter) of the urea, lupin and canola meal diets, as percentage by weight of diet</w:t>
      </w:r>
    </w:p>
    <w:tbl>
      <w:tblPr>
        <w:tblStyle w:val="REISstyle"/>
        <w:tblW w:w="0" w:type="auto"/>
        <w:tblLook w:val="06A0" w:firstRow="1" w:lastRow="0" w:firstColumn="1" w:lastColumn="0" w:noHBand="1" w:noVBand="1"/>
      </w:tblPr>
      <w:tblGrid>
        <w:gridCol w:w="1575"/>
        <w:gridCol w:w="1247"/>
        <w:gridCol w:w="1247"/>
        <w:gridCol w:w="1247"/>
      </w:tblGrid>
      <w:tr w:rsidR="001C274F" w:rsidRPr="009872A1" w14:paraId="66148A8F" w14:textId="77777777" w:rsidTr="007512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14B841" w14:textId="77777777" w:rsidR="001C274F" w:rsidRPr="009872A1" w:rsidRDefault="001C274F" w:rsidP="00751207">
            <w:pPr>
              <w:pStyle w:val="Table"/>
              <w:rPr>
                <w:b w:val="0"/>
              </w:rPr>
            </w:pPr>
            <w:r w:rsidRPr="009872A1">
              <w:t>Diet components</w:t>
            </w:r>
          </w:p>
        </w:tc>
        <w:tc>
          <w:tcPr>
            <w:tcW w:w="1247" w:type="dxa"/>
          </w:tcPr>
          <w:p w14:paraId="37ED87BB" w14:textId="77777777" w:rsidR="001C274F" w:rsidRPr="009872A1" w:rsidRDefault="001C274F" w:rsidP="00751207">
            <w:pPr>
              <w:pStyle w:val="Table"/>
              <w:jc w:val="center"/>
              <w:cnfStyle w:val="100000000000" w:firstRow="1" w:lastRow="0" w:firstColumn="0" w:lastColumn="0" w:oddVBand="0" w:evenVBand="0" w:oddHBand="0" w:evenHBand="0" w:firstRowFirstColumn="0" w:firstRowLastColumn="0" w:lastRowFirstColumn="0" w:lastRowLastColumn="0"/>
              <w:rPr>
                <w:b w:val="0"/>
              </w:rPr>
            </w:pPr>
            <w:r w:rsidRPr="009872A1">
              <w:t>Urea</w:t>
            </w:r>
          </w:p>
        </w:tc>
        <w:tc>
          <w:tcPr>
            <w:tcW w:w="1247" w:type="dxa"/>
          </w:tcPr>
          <w:p w14:paraId="2E7CDCEA" w14:textId="77777777" w:rsidR="001C274F" w:rsidRPr="009872A1" w:rsidRDefault="001C274F" w:rsidP="00751207">
            <w:pPr>
              <w:pStyle w:val="Table"/>
              <w:jc w:val="center"/>
              <w:cnfStyle w:val="100000000000" w:firstRow="1" w:lastRow="0" w:firstColumn="0" w:lastColumn="0" w:oddVBand="0" w:evenVBand="0" w:oddHBand="0" w:evenHBand="0" w:firstRowFirstColumn="0" w:firstRowLastColumn="0" w:lastRowFirstColumn="0" w:lastRowLastColumn="0"/>
              <w:rPr>
                <w:b w:val="0"/>
              </w:rPr>
            </w:pPr>
            <w:r w:rsidRPr="009872A1">
              <w:t>Lupins</w:t>
            </w:r>
          </w:p>
        </w:tc>
        <w:tc>
          <w:tcPr>
            <w:tcW w:w="1247" w:type="dxa"/>
          </w:tcPr>
          <w:p w14:paraId="0733B788" w14:textId="77777777" w:rsidR="001C274F" w:rsidRPr="009872A1" w:rsidRDefault="001C274F" w:rsidP="00751207">
            <w:pPr>
              <w:pStyle w:val="Table"/>
              <w:jc w:val="center"/>
              <w:cnfStyle w:val="100000000000" w:firstRow="1" w:lastRow="0" w:firstColumn="0" w:lastColumn="0" w:oddVBand="0" w:evenVBand="0" w:oddHBand="0" w:evenHBand="0" w:firstRowFirstColumn="0" w:firstRowLastColumn="0" w:lastRowFirstColumn="0" w:lastRowLastColumn="0"/>
              <w:rPr>
                <w:b w:val="0"/>
              </w:rPr>
            </w:pPr>
            <w:r w:rsidRPr="009872A1">
              <w:t>Canola meal</w:t>
            </w:r>
          </w:p>
        </w:tc>
      </w:tr>
      <w:tr w:rsidR="001C274F" w:rsidRPr="009872A1" w14:paraId="114E92E1" w14:textId="77777777" w:rsidTr="00751207">
        <w:tc>
          <w:tcPr>
            <w:cnfStyle w:val="001000000000" w:firstRow="0" w:lastRow="0" w:firstColumn="1" w:lastColumn="0" w:oddVBand="0" w:evenVBand="0" w:oddHBand="0" w:evenHBand="0" w:firstRowFirstColumn="0" w:firstRowLastColumn="0" w:lastRowFirstColumn="0" w:lastRowLastColumn="0"/>
            <w:tcW w:w="0" w:type="auto"/>
          </w:tcPr>
          <w:p w14:paraId="3D148BF5" w14:textId="77777777" w:rsidR="001C274F" w:rsidRPr="009872A1" w:rsidRDefault="001C274F" w:rsidP="00751207">
            <w:pPr>
              <w:pStyle w:val="Table"/>
            </w:pPr>
            <w:r w:rsidRPr="009872A1">
              <w:t>Oaten grain</w:t>
            </w:r>
          </w:p>
        </w:tc>
        <w:tc>
          <w:tcPr>
            <w:tcW w:w="1247" w:type="dxa"/>
          </w:tcPr>
          <w:p w14:paraId="584A0115"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63</w:t>
            </w:r>
          </w:p>
        </w:tc>
        <w:tc>
          <w:tcPr>
            <w:tcW w:w="1247" w:type="dxa"/>
          </w:tcPr>
          <w:p w14:paraId="2A185C9F"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40</w:t>
            </w:r>
          </w:p>
        </w:tc>
        <w:tc>
          <w:tcPr>
            <w:tcW w:w="1247" w:type="dxa"/>
          </w:tcPr>
          <w:p w14:paraId="03A5F903"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38</w:t>
            </w:r>
          </w:p>
        </w:tc>
      </w:tr>
      <w:tr w:rsidR="001C274F" w:rsidRPr="009872A1" w14:paraId="5C982518" w14:textId="77777777" w:rsidTr="00751207">
        <w:tc>
          <w:tcPr>
            <w:cnfStyle w:val="001000000000" w:firstRow="0" w:lastRow="0" w:firstColumn="1" w:lastColumn="0" w:oddVBand="0" w:evenVBand="0" w:oddHBand="0" w:evenHBand="0" w:firstRowFirstColumn="0" w:firstRowLastColumn="0" w:lastRowFirstColumn="0" w:lastRowLastColumn="0"/>
            <w:tcW w:w="0" w:type="auto"/>
          </w:tcPr>
          <w:p w14:paraId="0E656A5A" w14:textId="77777777" w:rsidR="001C274F" w:rsidRPr="009872A1" w:rsidRDefault="001C274F" w:rsidP="00751207">
            <w:pPr>
              <w:pStyle w:val="Table"/>
            </w:pPr>
            <w:r w:rsidRPr="009872A1">
              <w:t>Lupin grain</w:t>
            </w:r>
          </w:p>
        </w:tc>
        <w:tc>
          <w:tcPr>
            <w:tcW w:w="1247" w:type="dxa"/>
          </w:tcPr>
          <w:p w14:paraId="63ADC367"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w:t>
            </w:r>
          </w:p>
        </w:tc>
        <w:tc>
          <w:tcPr>
            <w:tcW w:w="1247" w:type="dxa"/>
          </w:tcPr>
          <w:p w14:paraId="1C2E35EA"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19</w:t>
            </w:r>
          </w:p>
        </w:tc>
        <w:tc>
          <w:tcPr>
            <w:tcW w:w="1247" w:type="dxa"/>
          </w:tcPr>
          <w:p w14:paraId="33D71046"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8</w:t>
            </w:r>
          </w:p>
        </w:tc>
      </w:tr>
      <w:tr w:rsidR="001C274F" w:rsidRPr="009872A1" w14:paraId="555F6799" w14:textId="77777777" w:rsidTr="00751207">
        <w:tc>
          <w:tcPr>
            <w:cnfStyle w:val="001000000000" w:firstRow="0" w:lastRow="0" w:firstColumn="1" w:lastColumn="0" w:oddVBand="0" w:evenVBand="0" w:oddHBand="0" w:evenHBand="0" w:firstRowFirstColumn="0" w:firstRowLastColumn="0" w:lastRowFirstColumn="0" w:lastRowLastColumn="0"/>
            <w:tcW w:w="0" w:type="auto"/>
          </w:tcPr>
          <w:p w14:paraId="53D3F77D" w14:textId="77777777" w:rsidR="001C274F" w:rsidRPr="009872A1" w:rsidRDefault="001C274F" w:rsidP="00751207">
            <w:pPr>
              <w:pStyle w:val="Table"/>
            </w:pPr>
            <w:r w:rsidRPr="009872A1">
              <w:t>Barley grain</w:t>
            </w:r>
          </w:p>
        </w:tc>
        <w:tc>
          <w:tcPr>
            <w:tcW w:w="1247" w:type="dxa"/>
          </w:tcPr>
          <w:p w14:paraId="05CA5439"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30</w:t>
            </w:r>
          </w:p>
        </w:tc>
        <w:tc>
          <w:tcPr>
            <w:tcW w:w="1247" w:type="dxa"/>
          </w:tcPr>
          <w:p w14:paraId="3E0DD211"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11</w:t>
            </w:r>
          </w:p>
        </w:tc>
        <w:tc>
          <w:tcPr>
            <w:tcW w:w="1247" w:type="dxa"/>
          </w:tcPr>
          <w:p w14:paraId="3340BB54"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15</w:t>
            </w:r>
          </w:p>
        </w:tc>
      </w:tr>
      <w:tr w:rsidR="001C274F" w:rsidRPr="009872A1" w14:paraId="7778CFF5" w14:textId="77777777" w:rsidTr="00751207">
        <w:tc>
          <w:tcPr>
            <w:cnfStyle w:val="001000000000" w:firstRow="0" w:lastRow="0" w:firstColumn="1" w:lastColumn="0" w:oddVBand="0" w:evenVBand="0" w:oddHBand="0" w:evenHBand="0" w:firstRowFirstColumn="0" w:firstRowLastColumn="0" w:lastRowFirstColumn="0" w:lastRowLastColumn="0"/>
            <w:tcW w:w="0" w:type="auto"/>
          </w:tcPr>
          <w:p w14:paraId="48162981" w14:textId="77777777" w:rsidR="001C274F" w:rsidRPr="009872A1" w:rsidRDefault="001C274F" w:rsidP="00751207">
            <w:pPr>
              <w:pStyle w:val="Table"/>
            </w:pPr>
            <w:r w:rsidRPr="009872A1">
              <w:t>Cereal chaff</w:t>
            </w:r>
          </w:p>
        </w:tc>
        <w:tc>
          <w:tcPr>
            <w:tcW w:w="1247" w:type="dxa"/>
          </w:tcPr>
          <w:p w14:paraId="15431A4D"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w:t>
            </w:r>
          </w:p>
        </w:tc>
        <w:tc>
          <w:tcPr>
            <w:tcW w:w="1247" w:type="dxa"/>
          </w:tcPr>
          <w:p w14:paraId="4A54A6AE"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25</w:t>
            </w:r>
          </w:p>
        </w:tc>
        <w:tc>
          <w:tcPr>
            <w:tcW w:w="1247" w:type="dxa"/>
          </w:tcPr>
          <w:p w14:paraId="2C8B4F95"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23</w:t>
            </w:r>
          </w:p>
        </w:tc>
      </w:tr>
      <w:tr w:rsidR="001C274F" w:rsidRPr="009872A1" w14:paraId="5CEFC0EE" w14:textId="77777777" w:rsidTr="00751207">
        <w:tc>
          <w:tcPr>
            <w:cnfStyle w:val="001000000000" w:firstRow="0" w:lastRow="0" w:firstColumn="1" w:lastColumn="0" w:oddVBand="0" w:evenVBand="0" w:oddHBand="0" w:evenHBand="0" w:firstRowFirstColumn="0" w:firstRowLastColumn="0" w:lastRowFirstColumn="0" w:lastRowLastColumn="0"/>
            <w:tcW w:w="0" w:type="auto"/>
          </w:tcPr>
          <w:p w14:paraId="70CED91F" w14:textId="77777777" w:rsidR="001C274F" w:rsidRPr="009872A1" w:rsidRDefault="001C274F" w:rsidP="00751207">
            <w:pPr>
              <w:pStyle w:val="Table"/>
            </w:pPr>
            <w:r w:rsidRPr="009872A1">
              <w:t>Canola meal</w:t>
            </w:r>
          </w:p>
        </w:tc>
        <w:tc>
          <w:tcPr>
            <w:tcW w:w="1247" w:type="dxa"/>
          </w:tcPr>
          <w:p w14:paraId="4A6C627D"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w:t>
            </w:r>
          </w:p>
        </w:tc>
        <w:tc>
          <w:tcPr>
            <w:tcW w:w="1247" w:type="dxa"/>
          </w:tcPr>
          <w:p w14:paraId="3B0B225D"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w:t>
            </w:r>
          </w:p>
        </w:tc>
        <w:tc>
          <w:tcPr>
            <w:tcW w:w="1247" w:type="dxa"/>
          </w:tcPr>
          <w:p w14:paraId="3532122B"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12</w:t>
            </w:r>
          </w:p>
        </w:tc>
      </w:tr>
      <w:tr w:rsidR="001C274F" w:rsidRPr="009872A1" w14:paraId="052E08ED" w14:textId="77777777" w:rsidTr="00751207">
        <w:tc>
          <w:tcPr>
            <w:cnfStyle w:val="001000000000" w:firstRow="0" w:lastRow="0" w:firstColumn="1" w:lastColumn="0" w:oddVBand="0" w:evenVBand="0" w:oddHBand="0" w:evenHBand="0" w:firstRowFirstColumn="0" w:firstRowLastColumn="0" w:lastRowFirstColumn="0" w:lastRowLastColumn="0"/>
            <w:tcW w:w="0" w:type="auto"/>
          </w:tcPr>
          <w:p w14:paraId="74C944F9" w14:textId="77777777" w:rsidR="001C274F" w:rsidRPr="009872A1" w:rsidRDefault="001C274F" w:rsidP="00751207">
            <w:pPr>
              <w:pStyle w:val="Table"/>
            </w:pPr>
            <w:r w:rsidRPr="009872A1">
              <w:t>Urea</w:t>
            </w:r>
          </w:p>
        </w:tc>
        <w:tc>
          <w:tcPr>
            <w:tcW w:w="1247" w:type="dxa"/>
          </w:tcPr>
          <w:p w14:paraId="6867EE7A"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1.5</w:t>
            </w:r>
          </w:p>
        </w:tc>
        <w:tc>
          <w:tcPr>
            <w:tcW w:w="1247" w:type="dxa"/>
          </w:tcPr>
          <w:p w14:paraId="7634BF6B"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w:t>
            </w:r>
          </w:p>
        </w:tc>
        <w:tc>
          <w:tcPr>
            <w:tcW w:w="1247" w:type="dxa"/>
          </w:tcPr>
          <w:p w14:paraId="60A06ACC" w14:textId="77777777" w:rsidR="001C274F" w:rsidRPr="009872A1" w:rsidRDefault="001C274F" w:rsidP="00751207">
            <w:pPr>
              <w:pStyle w:val="Table"/>
              <w:ind w:right="227"/>
              <w:jc w:val="right"/>
              <w:cnfStyle w:val="000000000000" w:firstRow="0" w:lastRow="0" w:firstColumn="0" w:lastColumn="0" w:oddVBand="0" w:evenVBand="0" w:oddHBand="0" w:evenHBand="0" w:firstRowFirstColumn="0" w:firstRowLastColumn="0" w:lastRowFirstColumn="0" w:lastRowLastColumn="0"/>
            </w:pPr>
            <w:r w:rsidRPr="009872A1">
              <w:t>-</w:t>
            </w:r>
          </w:p>
        </w:tc>
      </w:tr>
    </w:tbl>
    <w:p w14:paraId="52192664" w14:textId="77777777" w:rsidR="001C274F" w:rsidRPr="009872A1" w:rsidRDefault="001C274F" w:rsidP="001C274F">
      <w:pPr>
        <w:pStyle w:val="Source"/>
      </w:pPr>
      <w:r w:rsidRPr="009872A1">
        <w:t>Source: Wiese et al. 2003 (8 points font size).</w:t>
      </w:r>
    </w:p>
    <w:p w14:paraId="29E2B04F" w14:textId="77777777" w:rsidR="001C274F" w:rsidRPr="009872A1" w:rsidRDefault="001C274F" w:rsidP="001C274F">
      <w:pPr>
        <w:pStyle w:val="Caption"/>
      </w:pPr>
      <w:r w:rsidRPr="009872A1">
        <w:lastRenderedPageBreak/>
        <w:t>Figure 1. Scattergram between fibre curvature and MFD (microns) for cashmere</w:t>
      </w:r>
    </w:p>
    <w:p w14:paraId="78928257" w14:textId="77777777" w:rsidR="001C274F" w:rsidRPr="009872A1" w:rsidRDefault="001C274F" w:rsidP="001C274F">
      <w:pPr>
        <w:spacing w:before="100" w:after="100"/>
        <w:jc w:val="center"/>
      </w:pPr>
      <w:r w:rsidRPr="009872A1">
        <w:rPr>
          <w:noProof/>
          <w:lang w:eastAsia="en-AU"/>
        </w:rPr>
        <w:drawing>
          <wp:inline distT="0" distB="0" distL="0" distR="0" wp14:anchorId="0540BCBB" wp14:editId="1F94F72D">
            <wp:extent cx="2657475" cy="188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b="5573"/>
                    <a:stretch>
                      <a:fillRect/>
                    </a:stretch>
                  </pic:blipFill>
                  <pic:spPr bwMode="auto">
                    <a:xfrm>
                      <a:off x="0" y="0"/>
                      <a:ext cx="2657475" cy="1885950"/>
                    </a:xfrm>
                    <a:prstGeom prst="rect">
                      <a:avLst/>
                    </a:prstGeom>
                    <a:noFill/>
                    <a:ln w="9525">
                      <a:noFill/>
                      <a:miter lim="800000"/>
                      <a:headEnd/>
                      <a:tailEnd/>
                    </a:ln>
                  </pic:spPr>
                </pic:pic>
              </a:graphicData>
            </a:graphic>
          </wp:inline>
        </w:drawing>
      </w:r>
    </w:p>
    <w:p w14:paraId="279F33ED" w14:textId="77777777" w:rsidR="001C274F" w:rsidRPr="009872A1" w:rsidRDefault="001C274F" w:rsidP="001C274F">
      <w:pPr>
        <w:pStyle w:val="Source"/>
      </w:pPr>
      <w:r w:rsidRPr="009872A1">
        <w:t>Source: McGregor 2003.</w:t>
      </w:r>
    </w:p>
    <w:p w14:paraId="2197C95E" w14:textId="77777777" w:rsidR="001C274F" w:rsidRPr="009872A1" w:rsidRDefault="001C274F" w:rsidP="001C274F">
      <w:pPr>
        <w:pStyle w:val="Caption"/>
      </w:pPr>
      <w:r w:rsidRPr="009872A1">
        <w:t>Plate 1. Eight-day green fodder for a combination of selected cereals</w:t>
      </w:r>
    </w:p>
    <w:p w14:paraId="5714CC73" w14:textId="77777777" w:rsidR="001C274F" w:rsidRPr="009872A1" w:rsidRDefault="001C274F" w:rsidP="001C274F">
      <w:pPr>
        <w:spacing w:before="100" w:after="100"/>
        <w:jc w:val="center"/>
      </w:pPr>
      <w:r w:rsidRPr="009872A1">
        <w:rPr>
          <w:noProof/>
          <w:lang w:eastAsia="en-AU"/>
        </w:rPr>
        <w:drawing>
          <wp:inline distT="0" distB="0" distL="0" distR="0" wp14:anchorId="30DB3764" wp14:editId="64E8BA16">
            <wp:extent cx="2657475" cy="1990725"/>
            <wp:effectExtent l="19050" t="0" r="9525" b="0"/>
            <wp:docPr id="1" name="Picture 1" descr="FodderShed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dderShed070-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657475" cy="1990725"/>
                    </a:xfrm>
                    <a:prstGeom prst="rect">
                      <a:avLst/>
                    </a:prstGeom>
                    <a:noFill/>
                    <a:ln w="9525">
                      <a:noFill/>
                      <a:miter lim="800000"/>
                      <a:headEnd/>
                      <a:tailEnd/>
                    </a:ln>
                  </pic:spPr>
                </pic:pic>
              </a:graphicData>
            </a:graphic>
          </wp:inline>
        </w:drawing>
      </w:r>
    </w:p>
    <w:p w14:paraId="53F4458C" w14:textId="77777777" w:rsidR="001C274F" w:rsidRPr="009872A1" w:rsidRDefault="001C274F" w:rsidP="001C274F">
      <w:pPr>
        <w:pStyle w:val="Source"/>
      </w:pPr>
      <w:r w:rsidRPr="009872A1">
        <w:t>Source: AAC 2003, personal file.</w:t>
      </w:r>
    </w:p>
    <w:p w14:paraId="5D1CE9AB" w14:textId="77777777" w:rsidR="001C274F" w:rsidRPr="009872A1" w:rsidRDefault="001C274F" w:rsidP="0044215C">
      <w:pPr>
        <w:pStyle w:val="Heading1"/>
      </w:pPr>
      <w:r w:rsidRPr="009872A1">
        <w:t>Referencing system</w:t>
      </w:r>
    </w:p>
    <w:p w14:paraId="393D2ED8" w14:textId="77777777" w:rsidR="001C274F" w:rsidRPr="009872A1" w:rsidRDefault="001C274F" w:rsidP="001C274F">
      <w:pPr>
        <w:pStyle w:val="BodyText"/>
      </w:pPr>
      <w:r w:rsidRPr="009872A1">
        <w:t xml:space="preserve">The Journal uses the Harvard referencing system, generally following the styles recommended in the </w:t>
      </w:r>
      <w:r w:rsidRPr="009872A1">
        <w:rPr>
          <w:i/>
        </w:rPr>
        <w:t>Style manual for authors, editors and printers</w:t>
      </w:r>
      <w:r w:rsidRPr="009872A1">
        <w:t xml:space="preserve"> (2002). We </w:t>
      </w:r>
      <w:r w:rsidR="004438A8">
        <w:t xml:space="preserve">provide </w:t>
      </w:r>
      <w:r w:rsidRPr="009872A1">
        <w:t xml:space="preserve">guidelines </w:t>
      </w:r>
      <w:r>
        <w:t xml:space="preserve">to most common references </w:t>
      </w:r>
      <w:r w:rsidR="004438A8">
        <w:t>below</w:t>
      </w:r>
      <w:r w:rsidRPr="009872A1">
        <w:t xml:space="preserve">. </w:t>
      </w:r>
      <w:r>
        <w:t>An</w:t>
      </w:r>
      <w:r w:rsidRPr="009872A1">
        <w:t xml:space="preserve"> </w:t>
      </w:r>
      <w:r>
        <w:t xml:space="preserve">Endnote template for the </w:t>
      </w:r>
      <w:r w:rsidRPr="009872A1">
        <w:t>Harvard style</w:t>
      </w:r>
      <w:r>
        <w:t xml:space="preserve"> is available from the REIS web site</w:t>
      </w:r>
      <w:r w:rsidRPr="009872A1">
        <w:t>.</w:t>
      </w:r>
    </w:p>
    <w:p w14:paraId="7B3AF99E" w14:textId="77777777" w:rsidR="0044215C" w:rsidRDefault="001C274F" w:rsidP="0044215C">
      <w:pPr>
        <w:pStyle w:val="Heading2"/>
      </w:pPr>
      <w:r w:rsidRPr="009872A1">
        <w:t>In-text citations</w:t>
      </w:r>
    </w:p>
    <w:p w14:paraId="20872AD8" w14:textId="77777777" w:rsidR="001C274F" w:rsidRPr="009872A1" w:rsidRDefault="001C274F" w:rsidP="001C274F">
      <w:pPr>
        <w:pStyle w:val="BodyText"/>
      </w:pPr>
      <w:r w:rsidRPr="009872A1">
        <w:t>Examples</w:t>
      </w:r>
      <w:r>
        <w:t>:</w:t>
      </w:r>
    </w:p>
    <w:p w14:paraId="7C837176" w14:textId="77777777" w:rsidR="001C274F" w:rsidRPr="009872A1" w:rsidRDefault="001C274F" w:rsidP="001C274F">
      <w:pPr>
        <w:pStyle w:val="ListBullet"/>
        <w:numPr>
          <w:ilvl w:val="0"/>
          <w:numId w:val="7"/>
        </w:numPr>
        <w:tabs>
          <w:tab w:val="clear" w:pos="567"/>
        </w:tabs>
        <w:ind w:left="284" w:hanging="284"/>
      </w:pPr>
      <w:r w:rsidRPr="009872A1">
        <w:t>single-author: (Holt 1997) or Holt (1997) or Holt (n.d</w:t>
      </w:r>
      <w:r w:rsidR="00E80FCB">
        <w:t>.</w:t>
      </w:r>
      <w:r w:rsidRPr="009872A1">
        <w:t>) if no date given</w:t>
      </w:r>
    </w:p>
    <w:p w14:paraId="59A4C9A1" w14:textId="77777777" w:rsidR="001C274F" w:rsidRPr="009872A1" w:rsidRDefault="001C274F" w:rsidP="001C274F">
      <w:pPr>
        <w:pStyle w:val="ListBullet"/>
        <w:numPr>
          <w:ilvl w:val="0"/>
          <w:numId w:val="7"/>
        </w:numPr>
        <w:tabs>
          <w:tab w:val="clear" w:pos="567"/>
        </w:tabs>
        <w:ind w:left="284" w:hanging="284"/>
      </w:pPr>
      <w:r w:rsidRPr="009872A1">
        <w:t>two: McCarthy &amp; Pascale (1997)</w:t>
      </w:r>
    </w:p>
    <w:p w14:paraId="21D818CE" w14:textId="77777777" w:rsidR="001C274F" w:rsidRPr="009872A1" w:rsidRDefault="001C274F" w:rsidP="001C274F">
      <w:pPr>
        <w:pStyle w:val="ListBullet"/>
        <w:numPr>
          <w:ilvl w:val="0"/>
          <w:numId w:val="7"/>
        </w:numPr>
        <w:tabs>
          <w:tab w:val="clear" w:pos="567"/>
        </w:tabs>
        <w:ind w:left="284" w:hanging="284"/>
      </w:pPr>
      <w:r w:rsidRPr="009872A1">
        <w:t xml:space="preserve">more than </w:t>
      </w:r>
      <w:r>
        <w:t>two</w:t>
      </w:r>
      <w:r w:rsidRPr="009872A1">
        <w:t xml:space="preserve"> authors: (Bond et al. 1996) or Bond et al. (1996)</w:t>
      </w:r>
    </w:p>
    <w:p w14:paraId="7A3C5F37" w14:textId="77777777" w:rsidR="001C274F" w:rsidRPr="009872A1" w:rsidRDefault="001C274F" w:rsidP="001C274F">
      <w:pPr>
        <w:pStyle w:val="ListBullet"/>
        <w:numPr>
          <w:ilvl w:val="0"/>
          <w:numId w:val="7"/>
        </w:numPr>
        <w:tabs>
          <w:tab w:val="clear" w:pos="567"/>
        </w:tabs>
        <w:ind w:left="284" w:hanging="284"/>
      </w:pPr>
      <w:r w:rsidRPr="009872A1">
        <w:t>multiple citations: (Bond et al. 1996; Holt 1997; McCarthy &amp; Pascale 1997). Note ordered chronologically and then alphabetically</w:t>
      </w:r>
    </w:p>
    <w:p w14:paraId="791DACA6" w14:textId="77777777" w:rsidR="001C274F" w:rsidRDefault="001C274F" w:rsidP="001C274F">
      <w:pPr>
        <w:pStyle w:val="ListBullet"/>
        <w:numPr>
          <w:ilvl w:val="0"/>
          <w:numId w:val="7"/>
        </w:numPr>
        <w:tabs>
          <w:tab w:val="clear" w:pos="567"/>
        </w:tabs>
        <w:ind w:left="284" w:hanging="284"/>
      </w:pPr>
      <w:r w:rsidRPr="009872A1">
        <w:t>multiple publications</w:t>
      </w:r>
      <w:r>
        <w:t xml:space="preserve"> in the same year</w:t>
      </w:r>
      <w:r w:rsidRPr="009872A1">
        <w:t xml:space="preserve"> by same author</w:t>
      </w:r>
      <w:r>
        <w:t>s</w:t>
      </w:r>
      <w:r w:rsidRPr="009872A1">
        <w:t>: (Bond 1991a; Bond 1991b)</w:t>
      </w:r>
      <w:r>
        <w:t>. In the reference list, order alphabetically by title.</w:t>
      </w:r>
    </w:p>
    <w:p w14:paraId="02755D43" w14:textId="77777777" w:rsidR="001C274F" w:rsidRPr="009872A1" w:rsidRDefault="001C274F" w:rsidP="001C274F">
      <w:pPr>
        <w:pStyle w:val="ListBullet"/>
        <w:numPr>
          <w:ilvl w:val="0"/>
          <w:numId w:val="7"/>
        </w:numPr>
        <w:tabs>
          <w:tab w:val="clear" w:pos="567"/>
        </w:tabs>
        <w:ind w:left="284" w:hanging="284"/>
      </w:pPr>
      <w:r>
        <w:t>When authors have the same surname, include the authors initials: (H Holt 1967; D Holt 1967).</w:t>
      </w:r>
    </w:p>
    <w:p w14:paraId="6B8777AE" w14:textId="77777777" w:rsidR="001C274F" w:rsidRPr="009872A1" w:rsidRDefault="001C274F" w:rsidP="001C274F">
      <w:pPr>
        <w:pStyle w:val="ListBullet"/>
        <w:numPr>
          <w:ilvl w:val="0"/>
          <w:numId w:val="7"/>
        </w:numPr>
        <w:tabs>
          <w:tab w:val="clear" w:pos="567"/>
        </w:tabs>
        <w:ind w:left="284" w:hanging="284"/>
      </w:pPr>
      <w:r w:rsidRPr="009872A1">
        <w:t>secondary citation: (O’Reilly</w:t>
      </w:r>
      <w:r>
        <w:t xml:space="preserve"> 1995</w:t>
      </w:r>
      <w:r w:rsidRPr="009872A1">
        <w:t>, cited in Byrne 2008)</w:t>
      </w:r>
      <w:r>
        <w:t>. In the reference list, provide the reference you read, (Byrne).</w:t>
      </w:r>
    </w:p>
    <w:p w14:paraId="47072BB9" w14:textId="77777777" w:rsidR="001C274F" w:rsidRPr="009872A1" w:rsidRDefault="001C274F" w:rsidP="001C274F">
      <w:pPr>
        <w:pStyle w:val="ListBullet"/>
        <w:numPr>
          <w:ilvl w:val="0"/>
          <w:numId w:val="7"/>
        </w:numPr>
        <w:tabs>
          <w:tab w:val="clear" w:pos="567"/>
        </w:tabs>
        <w:ind w:left="284" w:hanging="284"/>
      </w:pPr>
      <w:r w:rsidRPr="009872A1">
        <w:t>personal communications: AE Jones (2011, pers. comm., 2 May) or (AE Jones 2011, pers. comm., 2 May)</w:t>
      </w:r>
      <w:r>
        <w:t>.</w:t>
      </w:r>
    </w:p>
    <w:p w14:paraId="79253D22" w14:textId="77777777" w:rsidR="0044215C" w:rsidRDefault="001C274F" w:rsidP="0044215C">
      <w:pPr>
        <w:pStyle w:val="Heading2"/>
      </w:pPr>
      <w:r w:rsidRPr="009872A1">
        <w:t>Reference list</w:t>
      </w:r>
    </w:p>
    <w:p w14:paraId="24A734E5" w14:textId="77777777" w:rsidR="004438A8" w:rsidRDefault="001C274F" w:rsidP="001C274F">
      <w:pPr>
        <w:pStyle w:val="BodyText"/>
      </w:pPr>
      <w:r w:rsidRPr="009872A1">
        <w:t xml:space="preserve">Reference list entries are set in 8 pt Verdana, with </w:t>
      </w:r>
      <w:r>
        <w:t>5</w:t>
      </w:r>
      <w:r w:rsidRPr="009872A1">
        <w:t xml:space="preserve"> pt spacing below, </w:t>
      </w:r>
      <w:r>
        <w:t xml:space="preserve">although none between references </w:t>
      </w:r>
      <w:r w:rsidRPr="009872A1">
        <w:t>and a 0.5 cm hanging indent. They are ordered alphabetically and then chronologically. Do not use comma</w:t>
      </w:r>
      <w:r w:rsidR="0044215C">
        <w:t>s after the</w:t>
      </w:r>
      <w:r w:rsidRPr="009872A1">
        <w:t xml:space="preserve"> surnames of the authors.</w:t>
      </w:r>
    </w:p>
    <w:p w14:paraId="3DA4EC44" w14:textId="77777777" w:rsidR="00235BAA" w:rsidRDefault="001C274F" w:rsidP="001C274F">
      <w:pPr>
        <w:pStyle w:val="BodyText"/>
      </w:pPr>
      <w:r w:rsidRPr="009872A1">
        <w:t xml:space="preserve">Book titles require a capital letter only for the first word and for any other words that usually require a capital letter. The titles of chapters from books and papers from journals also take a capital letter only for the first word of the title. However, the titles of the journals take initial capital letters for all main words. </w:t>
      </w:r>
      <w:r w:rsidR="00235BAA">
        <w:t>The date for electronic references is the date accessed.</w:t>
      </w:r>
    </w:p>
    <w:p w14:paraId="7B08B395" w14:textId="77777777" w:rsidR="001C274F" w:rsidRPr="009872A1" w:rsidRDefault="004438A8" w:rsidP="001C274F">
      <w:pPr>
        <w:pStyle w:val="BodyText"/>
      </w:pPr>
      <w:r>
        <w:lastRenderedPageBreak/>
        <w:t>The main</w:t>
      </w:r>
      <w:r w:rsidR="001C274F" w:rsidRPr="009872A1">
        <w:t xml:space="preserve"> examples of format are given below.</w:t>
      </w:r>
    </w:p>
    <w:p w14:paraId="17DE54E4" w14:textId="77777777" w:rsidR="001C274F" w:rsidRPr="009872A1" w:rsidRDefault="001C274F" w:rsidP="001C274F">
      <w:pPr>
        <w:pStyle w:val="BodyText"/>
        <w:keepNext/>
        <w:rPr>
          <w:i/>
          <w:u w:val="single"/>
        </w:rPr>
      </w:pPr>
      <w:r w:rsidRPr="009872A1">
        <w:rPr>
          <w:i/>
          <w:u w:val="single"/>
        </w:rPr>
        <w:t>Journal style</w:t>
      </w:r>
    </w:p>
    <w:p w14:paraId="476B68BF" w14:textId="77777777" w:rsidR="001C274F" w:rsidRPr="009872A1" w:rsidRDefault="001C274F" w:rsidP="001C274F">
      <w:pPr>
        <w:pStyle w:val="Reference"/>
      </w:pPr>
      <w:r w:rsidRPr="009872A1">
        <w:t xml:space="preserve">Liveris A 2011, ‘Ethics as a strategy’, </w:t>
      </w:r>
      <w:r w:rsidRPr="009872A1">
        <w:rPr>
          <w:i/>
        </w:rPr>
        <w:t>Leadership Excellence</w:t>
      </w:r>
      <w:r w:rsidRPr="009872A1">
        <w:t>, vol. 28, no. 2, pp. 63-75</w:t>
      </w:r>
      <w:r w:rsidR="00296E44">
        <w:t>,</w:t>
      </w:r>
      <w:r w:rsidRPr="009872A1">
        <w:t xml:space="preserve"> Available from: Proquest, [23 June 2011].</w:t>
      </w:r>
    </w:p>
    <w:p w14:paraId="7E9E50E2" w14:textId="77777777" w:rsidR="001C274F" w:rsidRPr="009872A1" w:rsidRDefault="001C274F" w:rsidP="001C274F">
      <w:pPr>
        <w:pStyle w:val="Reference"/>
      </w:pPr>
      <w:r w:rsidRPr="009872A1">
        <w:t xml:space="preserve">McGregor BA 2003, ‘Influence of nutrition, fibre diameter and fibre length on the fibre curvature of cashmere’, </w:t>
      </w:r>
      <w:r w:rsidRPr="009872A1">
        <w:rPr>
          <w:i/>
        </w:rPr>
        <w:t>Australian Journal of Experimental Agriculture</w:t>
      </w:r>
      <w:r w:rsidRPr="009872A1">
        <w:t>, vol. 43, pp. 1199–1209.</w:t>
      </w:r>
    </w:p>
    <w:p w14:paraId="1A91E4B7" w14:textId="77777777" w:rsidR="001C274F" w:rsidRPr="009872A1" w:rsidRDefault="001C274F" w:rsidP="001C274F">
      <w:pPr>
        <w:pStyle w:val="Reference"/>
      </w:pPr>
      <w:r w:rsidRPr="009872A1">
        <w:t xml:space="preserve">Wiese SC, White CL, Masters DG, Milton JTB &amp; Davidson RH 2003, ‘Growth and carcass characteristics of prime lamb fed diets containing urea, lupins or canola meal as a crude protein source’, </w:t>
      </w:r>
      <w:r w:rsidRPr="009872A1">
        <w:rPr>
          <w:i/>
        </w:rPr>
        <w:t>Australian Journal of Experimental Agriculture</w:t>
      </w:r>
      <w:r w:rsidRPr="009872A1">
        <w:t>, vol. 43, pp. 1193–1197.</w:t>
      </w:r>
    </w:p>
    <w:p w14:paraId="6A0008A2" w14:textId="77777777" w:rsidR="001C274F" w:rsidRDefault="001C274F" w:rsidP="001C274F">
      <w:pPr>
        <w:pStyle w:val="BodyText"/>
      </w:pPr>
      <w:r w:rsidRPr="009872A1">
        <w:t>If a journal article has a Digital Object Identifier (DOI) listed, include the DOI instead of the database or journal web site.</w:t>
      </w:r>
    </w:p>
    <w:p w14:paraId="1E582BFC" w14:textId="77777777" w:rsidR="001C274F" w:rsidRDefault="001C274F" w:rsidP="001C274F">
      <w:pPr>
        <w:pStyle w:val="Reference"/>
        <w:rPr>
          <w:lang w:eastAsia="en-AU"/>
        </w:rPr>
      </w:pPr>
      <w:r>
        <w:rPr>
          <w:lang w:eastAsia="en-AU"/>
        </w:rPr>
        <w:t>Murray-Prior R, Natsir A, Asja MA, Nasrullah</w:t>
      </w:r>
      <w:r w:rsidR="0044215C">
        <w:rPr>
          <w:lang w:eastAsia="en-AU"/>
        </w:rPr>
        <w:t>,</w:t>
      </w:r>
      <w:r>
        <w:rPr>
          <w:lang w:eastAsia="en-AU"/>
        </w:rPr>
        <w:t xml:space="preserve"> Murray PJ, Yusmasari &amp; Nurhayu A 2013, 'Preliminary investigations indicate that the lack of growth in Indonesian goat consumption is linked to negative perceptions of goat meat', </w:t>
      </w:r>
      <w:r>
        <w:rPr>
          <w:i/>
          <w:iCs/>
          <w:lang w:eastAsia="en-AU"/>
        </w:rPr>
        <w:t>Animal Production Science</w:t>
      </w:r>
      <w:r>
        <w:rPr>
          <w:lang w:eastAsia="en-AU"/>
        </w:rPr>
        <w:t>, vol. 53</w:t>
      </w:r>
      <w:r w:rsidR="0040554C">
        <w:rPr>
          <w:lang w:eastAsia="en-AU"/>
        </w:rPr>
        <w:t>,</w:t>
      </w:r>
      <w:r w:rsidR="0040554C" w:rsidRPr="0040554C">
        <w:t xml:space="preserve"> </w:t>
      </w:r>
      <w:r w:rsidR="0040554C" w:rsidRPr="0040554C">
        <w:rPr>
          <w:lang w:eastAsia="en-AU"/>
        </w:rPr>
        <w:t>no. 3, pp. 256-264,</w:t>
      </w:r>
      <w:r>
        <w:rPr>
          <w:lang w:eastAsia="en-AU"/>
        </w:rPr>
        <w:t xml:space="preserve"> </w:t>
      </w:r>
      <w:hyperlink r:id="rId14" w:history="1">
        <w:r w:rsidRPr="00F849F7">
          <w:rPr>
            <w:rStyle w:val="Hyperlink"/>
          </w:rPr>
          <w:t>http</w:t>
        </w:r>
        <w:r w:rsidR="00643922">
          <w:rPr>
            <w:rStyle w:val="Hyperlink"/>
          </w:rPr>
          <w:t>s</w:t>
        </w:r>
        <w:r w:rsidRPr="00F849F7">
          <w:rPr>
            <w:rStyle w:val="Hyperlink"/>
          </w:rPr>
          <w:t>://dx.doi.org/10.1071/AN12093</w:t>
        </w:r>
      </w:hyperlink>
      <w:r>
        <w:rPr>
          <w:lang w:eastAsia="en-AU"/>
        </w:rPr>
        <w:t>.</w:t>
      </w:r>
    </w:p>
    <w:p w14:paraId="379C2310" w14:textId="77777777" w:rsidR="001C274F" w:rsidRPr="009872A1" w:rsidRDefault="001C274F" w:rsidP="001C274F">
      <w:pPr>
        <w:pStyle w:val="BodyText"/>
        <w:keepNext/>
        <w:rPr>
          <w:i/>
          <w:u w:val="single"/>
        </w:rPr>
      </w:pPr>
      <w:r w:rsidRPr="009872A1">
        <w:rPr>
          <w:i/>
          <w:u w:val="single"/>
        </w:rPr>
        <w:t>Book style</w:t>
      </w:r>
    </w:p>
    <w:p w14:paraId="7BF9DF58" w14:textId="77777777" w:rsidR="001C274F" w:rsidRDefault="001C274F" w:rsidP="001C274F">
      <w:pPr>
        <w:pStyle w:val="Reference"/>
        <w:rPr>
          <w:lang w:eastAsia="en-AU"/>
        </w:rPr>
      </w:pPr>
      <w:r>
        <w:rPr>
          <w:lang w:eastAsia="en-AU"/>
        </w:rPr>
        <w:t xml:space="preserve">Kahneman D 2011, </w:t>
      </w:r>
      <w:r>
        <w:rPr>
          <w:i/>
          <w:iCs/>
          <w:lang w:eastAsia="en-AU"/>
        </w:rPr>
        <w:t>Thinking fast and slow</w:t>
      </w:r>
      <w:r>
        <w:rPr>
          <w:lang w:eastAsia="en-AU"/>
        </w:rPr>
        <w:t>, Farrar, Straus and Giroux, New York, Available from: &lt;</w:t>
      </w:r>
      <w:r w:rsidRPr="0017410B">
        <w:rPr>
          <w:rStyle w:val="Hyperlink"/>
          <w:lang w:eastAsia="en-AU"/>
        </w:rPr>
        <w:t>https://ebooksmobi.com/thinking-fast-slow-daniel-kahneman/</w:t>
      </w:r>
      <w:r>
        <w:rPr>
          <w:lang w:eastAsia="en-AU"/>
        </w:rPr>
        <w:t>&gt; [24 January 2017].</w:t>
      </w:r>
    </w:p>
    <w:p w14:paraId="3BFA3E90" w14:textId="77777777" w:rsidR="001C274F" w:rsidRDefault="001C274F" w:rsidP="001C274F">
      <w:pPr>
        <w:pStyle w:val="Reference"/>
        <w:rPr>
          <w:lang w:eastAsia="en-AU"/>
        </w:rPr>
      </w:pPr>
      <w:r>
        <w:rPr>
          <w:lang w:eastAsia="en-AU"/>
        </w:rPr>
        <w:t xml:space="preserve">Scott J 2017, </w:t>
      </w:r>
      <w:r>
        <w:rPr>
          <w:i/>
          <w:iCs/>
          <w:lang w:eastAsia="en-AU"/>
        </w:rPr>
        <w:t>Social network analysis</w:t>
      </w:r>
      <w:r>
        <w:rPr>
          <w:lang w:eastAsia="en-AU"/>
        </w:rPr>
        <w:t>, 4th edn, Sage Publications, London, UK.</w:t>
      </w:r>
    </w:p>
    <w:p w14:paraId="0A3EDD14" w14:textId="77777777" w:rsidR="001C274F" w:rsidRDefault="001C274F" w:rsidP="001C274F">
      <w:pPr>
        <w:pStyle w:val="Reference"/>
      </w:pPr>
      <w:r w:rsidRPr="009872A1">
        <w:t xml:space="preserve">Snooks &amp; Co. (rev.) 2002, </w:t>
      </w:r>
      <w:r w:rsidRPr="009872A1">
        <w:rPr>
          <w:i/>
        </w:rPr>
        <w:t xml:space="preserve">Style manual for authors, editors and printers, </w:t>
      </w:r>
      <w:r w:rsidRPr="009872A1">
        <w:t>6th edn, John Wiley, Milton, Qld.</w:t>
      </w:r>
    </w:p>
    <w:p w14:paraId="28B3F5AD" w14:textId="77777777" w:rsidR="001C274F" w:rsidRPr="009872A1" w:rsidRDefault="001C274F" w:rsidP="001C274F">
      <w:pPr>
        <w:pStyle w:val="Reference"/>
      </w:pPr>
      <w:r w:rsidRPr="009872A1">
        <w:t>Strahan</w:t>
      </w:r>
      <w:r w:rsidR="00033B0D">
        <w:t xml:space="preserve"> </w:t>
      </w:r>
      <w:r w:rsidRPr="009872A1">
        <w:t xml:space="preserve">R (ed.) 1995, </w:t>
      </w:r>
      <w:r w:rsidRPr="009872A1">
        <w:rPr>
          <w:i/>
        </w:rPr>
        <w:t>The mammals of Australia: the natural photography index of Australian wildlife</w:t>
      </w:r>
      <w:r w:rsidRPr="009872A1">
        <w:t>, rev. edn, Australian Museum &amp; Reed Books, Chatswood, NSW.</w:t>
      </w:r>
    </w:p>
    <w:p w14:paraId="1AE4A42C" w14:textId="77777777" w:rsidR="001C274F" w:rsidRPr="009872A1" w:rsidRDefault="001C274F" w:rsidP="001C274F">
      <w:pPr>
        <w:pStyle w:val="BodyText"/>
        <w:keepNext/>
        <w:rPr>
          <w:i/>
          <w:u w:val="single"/>
        </w:rPr>
      </w:pPr>
      <w:r w:rsidRPr="009872A1">
        <w:rPr>
          <w:i/>
          <w:u w:val="single"/>
        </w:rPr>
        <w:t>Chapter style</w:t>
      </w:r>
    </w:p>
    <w:p w14:paraId="507AF9E9" w14:textId="77777777" w:rsidR="001C274F" w:rsidRPr="009872A1" w:rsidRDefault="001C274F" w:rsidP="001C274F">
      <w:pPr>
        <w:pStyle w:val="Reference"/>
      </w:pPr>
      <w:r w:rsidRPr="009872A1">
        <w:t xml:space="preserve">Christensen P 1995, ‘Brush-tailed bettong’, in </w:t>
      </w:r>
      <w:r w:rsidRPr="009872A1">
        <w:rPr>
          <w:i/>
        </w:rPr>
        <w:t>The mammals of Australia: the natural photography index of Australian wildlife</w:t>
      </w:r>
      <w:r w:rsidRPr="009872A1">
        <w:t>, rev. edn, ed. R Strahan, Australian Museum &amp; Reed Books, Chatswood, NSW, pp. 292–293.</w:t>
      </w:r>
    </w:p>
    <w:p w14:paraId="18D235E4" w14:textId="77777777" w:rsidR="001C274F" w:rsidRPr="009872A1" w:rsidRDefault="0044215C" w:rsidP="0044215C">
      <w:pPr>
        <w:pStyle w:val="Heading3"/>
      </w:pPr>
      <w:r>
        <w:t>P</w:t>
      </w:r>
      <w:r w:rsidR="001C274F">
        <w:t>rint published conference proceedings</w:t>
      </w:r>
    </w:p>
    <w:p w14:paraId="536A21ED" w14:textId="77777777" w:rsidR="001C274F" w:rsidRDefault="001C274F" w:rsidP="001C274F">
      <w:pPr>
        <w:pStyle w:val="Reference"/>
      </w:pPr>
      <w:r w:rsidRPr="009872A1">
        <w:t xml:space="preserve">Kohn CW </w:t>
      </w:r>
      <w:r>
        <w:t>&amp;</w:t>
      </w:r>
      <w:r w:rsidRPr="009872A1">
        <w:t xml:space="preserve"> Hinchcliff KW 1994, ‘Maximising performance of event horses in hot humid weather: a field trial’, </w:t>
      </w:r>
      <w:r>
        <w:t xml:space="preserve">in </w:t>
      </w:r>
      <w:r w:rsidRPr="009872A1">
        <w:rPr>
          <w:i/>
        </w:rPr>
        <w:t>Proceedings of the fortieth annual convention of the American Association of Equine Practitioners, Dec. 4-7 1994</w:t>
      </w:r>
      <w:r w:rsidRPr="009872A1">
        <w:t>, ed. R Bakhaus, American Association of Equine Practitioners, Vancouver, BC, Canada, pp. 77-78.</w:t>
      </w:r>
    </w:p>
    <w:p w14:paraId="29A4607C" w14:textId="77777777" w:rsidR="001C274F" w:rsidRPr="009872A1" w:rsidRDefault="0044215C" w:rsidP="0044215C">
      <w:pPr>
        <w:pStyle w:val="Heading3"/>
      </w:pPr>
      <w:r>
        <w:t>E</w:t>
      </w:r>
      <w:r w:rsidR="001C274F">
        <w:t>lectronic published conference proceedings</w:t>
      </w:r>
    </w:p>
    <w:p w14:paraId="2216314B" w14:textId="77777777" w:rsidR="001C274F" w:rsidRDefault="001C274F" w:rsidP="001C274F">
      <w:pPr>
        <w:pStyle w:val="Reference"/>
        <w:rPr>
          <w:lang w:eastAsia="en-AU"/>
        </w:rPr>
      </w:pPr>
      <w:r>
        <w:rPr>
          <w:lang w:eastAsia="en-AU"/>
        </w:rPr>
        <w:t xml:space="preserve">Murray-Prior R 2014, 'A participatory market-driven approach to development and extension', in </w:t>
      </w:r>
      <w:r>
        <w:rPr>
          <w:i/>
          <w:iCs/>
          <w:lang w:eastAsia="en-AU"/>
        </w:rPr>
        <w:t>Innovations in extension &amp; advisory services: linking knowledge to policy &amp; action for food &amp; livelihoods: proceedings</w:t>
      </w:r>
      <w:r>
        <w:rPr>
          <w:lang w:eastAsia="en-AU"/>
        </w:rPr>
        <w:t>, 15-18 November 2011, CTA Wageningen, Nairobi, Kenya, pp. 1/11-11/11, Available from: &lt;</w:t>
      </w:r>
      <w:r w:rsidRPr="00AB7B5B">
        <w:rPr>
          <w:rStyle w:val="Hyperlink"/>
        </w:rPr>
        <w:t>http://knowledge.cta.int/</w:t>
      </w:r>
      <w:r>
        <w:rPr>
          <w:lang w:eastAsia="en-AU"/>
        </w:rPr>
        <w:t>&gt; [14 February 2014].</w:t>
      </w:r>
    </w:p>
    <w:p w14:paraId="486DBF38" w14:textId="77777777" w:rsidR="001C274F" w:rsidRDefault="001C274F" w:rsidP="0044215C">
      <w:pPr>
        <w:pStyle w:val="Heading3"/>
      </w:pPr>
      <w:r>
        <w:t>Unpublished presentation at conference</w:t>
      </w:r>
    </w:p>
    <w:p w14:paraId="354DB14B" w14:textId="77777777" w:rsidR="001C274F" w:rsidRDefault="001C274F" w:rsidP="001C274F">
      <w:pPr>
        <w:pStyle w:val="Reference"/>
        <w:rPr>
          <w:lang w:eastAsia="en-AU"/>
        </w:rPr>
      </w:pPr>
      <w:r>
        <w:rPr>
          <w:lang w:eastAsia="en-AU"/>
        </w:rPr>
        <w:t xml:space="preserve">Cumming RJ &amp; Parton KA 1990, 'An investigation of the relationship between business and financial risk using Target-Motad: a case study in the Victorian Mallee', Paper presented at the </w:t>
      </w:r>
      <w:r>
        <w:rPr>
          <w:i/>
          <w:iCs/>
          <w:lang w:eastAsia="en-AU"/>
        </w:rPr>
        <w:t>Australian Agricultural Economics Society Conference,</w:t>
      </w:r>
      <w:r w:rsidRPr="003C2D0F">
        <w:rPr>
          <w:lang w:eastAsia="en-AU"/>
        </w:rPr>
        <w:t xml:space="preserve"> University of Queensland</w:t>
      </w:r>
      <w:r>
        <w:rPr>
          <w:lang w:eastAsia="en-AU"/>
        </w:rPr>
        <w:t>, Brisbane, 13-15 February.</w:t>
      </w:r>
    </w:p>
    <w:p w14:paraId="00975DF2" w14:textId="77777777" w:rsidR="001C274F" w:rsidRPr="009872A1" w:rsidRDefault="001C274F" w:rsidP="001C274F">
      <w:pPr>
        <w:pStyle w:val="BodyText"/>
        <w:keepNext/>
        <w:rPr>
          <w:i/>
          <w:u w:val="single"/>
        </w:rPr>
      </w:pPr>
      <w:r w:rsidRPr="009872A1">
        <w:rPr>
          <w:i/>
          <w:u w:val="single"/>
        </w:rPr>
        <w:t>Electronic references</w:t>
      </w:r>
    </w:p>
    <w:p w14:paraId="49FBBC45" w14:textId="77777777" w:rsidR="001C274F" w:rsidRDefault="00474597" w:rsidP="001C274F">
      <w:pPr>
        <w:pStyle w:val="Reference"/>
      </w:pPr>
      <w:r>
        <w:t xml:space="preserve">Australian </w:t>
      </w:r>
      <w:r w:rsidR="001C274F" w:rsidRPr="009872A1">
        <w:t xml:space="preserve">Department of Industry, Tourism and Resources 2006, </w:t>
      </w:r>
      <w:r w:rsidR="001C274F" w:rsidRPr="009872A1">
        <w:rPr>
          <w:i/>
        </w:rPr>
        <w:t>Being prepared for an influenza pandemic: a kit for small businesses</w:t>
      </w:r>
      <w:r w:rsidR="001C274F" w:rsidRPr="009872A1">
        <w:t>, Available from: &lt;</w:t>
      </w:r>
      <w:hyperlink r:id="rId15" w:history="1">
        <w:r w:rsidR="001C274F" w:rsidRPr="004E48F2">
          <w:rPr>
            <w:rStyle w:val="Hyperlink"/>
          </w:rPr>
          <w:t>http://www.innnovation.gov.au</w:t>
        </w:r>
      </w:hyperlink>
      <w:r w:rsidR="001C274F" w:rsidRPr="009872A1">
        <w:t>&gt; [28 February 2009].</w:t>
      </w:r>
    </w:p>
    <w:p w14:paraId="5972751D" w14:textId="77777777" w:rsidR="001C274F" w:rsidRDefault="001C274F" w:rsidP="001C274F">
      <w:pPr>
        <w:pStyle w:val="Reference"/>
        <w:rPr>
          <w:lang w:eastAsia="en-AU"/>
        </w:rPr>
      </w:pPr>
      <w:r>
        <w:rPr>
          <w:lang w:eastAsia="en-AU"/>
        </w:rPr>
        <w:t>Hazell P, Poulton C, Wiggins S &amp; Dorward A 2006, 'The future of small farms: synthesis paper', Available from: &lt;</w:t>
      </w:r>
      <w:r w:rsidR="0040554C" w:rsidRPr="0040554C">
        <w:rPr>
          <w:rStyle w:val="Hyperlink"/>
        </w:rPr>
        <w:t>https://</w:t>
      </w:r>
      <w:r w:rsidRPr="00B8366A">
        <w:rPr>
          <w:rStyle w:val="Hyperlink"/>
        </w:rPr>
        <w:t>www.rimisp.org</w:t>
      </w:r>
      <w:r>
        <w:rPr>
          <w:lang w:eastAsia="en-AU"/>
        </w:rPr>
        <w:t>&gt; [15 June 2012].</w:t>
      </w:r>
    </w:p>
    <w:p w14:paraId="1703BADF" w14:textId="77777777" w:rsidR="001C274F" w:rsidRDefault="001C274F" w:rsidP="001C274F">
      <w:pPr>
        <w:pStyle w:val="Reference"/>
        <w:rPr>
          <w:lang w:eastAsia="en-AU"/>
        </w:rPr>
      </w:pPr>
      <w:r>
        <w:rPr>
          <w:lang w:eastAsia="en-AU"/>
        </w:rPr>
        <w:t xml:space="preserve">Kuehne G, </w:t>
      </w:r>
      <w:r w:rsidR="0044215C">
        <w:rPr>
          <w:lang w:eastAsia="en-AU"/>
        </w:rPr>
        <w:t xml:space="preserve">Llewellyn </w:t>
      </w:r>
      <w:r>
        <w:rPr>
          <w:lang w:eastAsia="en-AU"/>
        </w:rPr>
        <w:t xml:space="preserve">R, Pannell D, Ouzman J, Wilkinson R, Brown P &amp; Dolling P 2013, </w:t>
      </w:r>
      <w:r>
        <w:rPr>
          <w:i/>
          <w:iCs/>
          <w:lang w:eastAsia="en-AU"/>
        </w:rPr>
        <w:t>ADOPT: the adoption and diffusion outcome prediction tool – smallholder beta version</w:t>
      </w:r>
      <w:r>
        <w:rPr>
          <w:lang w:eastAsia="en-AU"/>
        </w:rPr>
        <w:t>, (Beta Version, June 2013), CSIRO, Adelaide, SA, Available from: &lt;</w:t>
      </w:r>
      <w:r w:rsidR="0040554C" w:rsidRPr="0040554C">
        <w:rPr>
          <w:rStyle w:val="Hyperlink"/>
        </w:rPr>
        <w:t>https://adopt.csiro.au/</w:t>
      </w:r>
      <w:r>
        <w:rPr>
          <w:lang w:eastAsia="en-AU"/>
        </w:rPr>
        <w:t>&gt; [21 October 2014].</w:t>
      </w:r>
    </w:p>
    <w:p w14:paraId="0524AE9E" w14:textId="77777777" w:rsidR="001C274F" w:rsidRDefault="001C274F" w:rsidP="001C274F">
      <w:pPr>
        <w:pStyle w:val="Heading3"/>
        <w:keepNext/>
      </w:pPr>
      <w:r>
        <w:t>Series</w:t>
      </w:r>
    </w:p>
    <w:p w14:paraId="6B4BA050" w14:textId="77777777" w:rsidR="001C274F" w:rsidRDefault="001C274F" w:rsidP="001C274F">
      <w:pPr>
        <w:pStyle w:val="Reference"/>
        <w:rPr>
          <w:lang w:eastAsia="en-AU"/>
        </w:rPr>
      </w:pPr>
      <w:r>
        <w:rPr>
          <w:lang w:eastAsia="en-AU"/>
        </w:rPr>
        <w:t xml:space="preserve">BenYishay, A &amp; Mobarak, AM 2014, </w:t>
      </w:r>
      <w:r>
        <w:rPr>
          <w:i/>
          <w:iCs/>
          <w:lang w:eastAsia="en-AU"/>
        </w:rPr>
        <w:t>Social learning and communication</w:t>
      </w:r>
      <w:r>
        <w:rPr>
          <w:lang w:eastAsia="en-AU"/>
        </w:rPr>
        <w:t>, NBER Working Paper Series, Working Paper 20139, National Bureau of Economic Research, Cambridge, MA, USA, Available from: &lt;</w:t>
      </w:r>
      <w:r w:rsidRPr="001D4A35">
        <w:rPr>
          <w:rStyle w:val="Hyperlink"/>
        </w:rPr>
        <w:t>http</w:t>
      </w:r>
      <w:r w:rsidR="0040554C">
        <w:rPr>
          <w:rStyle w:val="Hyperlink"/>
        </w:rPr>
        <w:t>s</w:t>
      </w:r>
      <w:r w:rsidRPr="001D4A35">
        <w:rPr>
          <w:rStyle w:val="Hyperlink"/>
        </w:rPr>
        <w:t>://www.nber.org</w:t>
      </w:r>
      <w:r>
        <w:rPr>
          <w:lang w:eastAsia="en-AU"/>
        </w:rPr>
        <w:t>&gt; [5 July 2018].</w:t>
      </w:r>
    </w:p>
    <w:p w14:paraId="4F5210C0" w14:textId="77777777" w:rsidR="001C274F" w:rsidRDefault="001C274F" w:rsidP="001C274F">
      <w:pPr>
        <w:pStyle w:val="Heading3"/>
        <w:keepNext/>
      </w:pPr>
      <w:r>
        <w:t>Report</w:t>
      </w:r>
      <w:r w:rsidR="00E80FCB">
        <w:t>s</w:t>
      </w:r>
    </w:p>
    <w:p w14:paraId="1A5980FA" w14:textId="77777777" w:rsidR="00E80FCB" w:rsidRDefault="00E80FCB" w:rsidP="00E80FCB">
      <w:pPr>
        <w:pStyle w:val="Reference"/>
        <w:rPr>
          <w:lang w:eastAsia="en-AU"/>
        </w:rPr>
      </w:pPr>
      <w:r>
        <w:rPr>
          <w:lang w:eastAsia="en-AU"/>
        </w:rPr>
        <w:t xml:space="preserve">Ames P &amp; Hiscox M 2016, </w:t>
      </w:r>
      <w:r>
        <w:rPr>
          <w:i/>
          <w:iCs/>
          <w:lang w:eastAsia="en-AU"/>
        </w:rPr>
        <w:t>Guide to developing behavioural interventions for randomised controlled trials: Nine guiding questions</w:t>
      </w:r>
      <w:r>
        <w:rPr>
          <w:lang w:eastAsia="en-AU"/>
        </w:rPr>
        <w:t>, Department of Prime Minister and Cabinet, Commonwealth of Australia, Barton ACT, Available from: &lt;https://www.pmc.gov.au/&gt; [3 October 2017].</w:t>
      </w:r>
    </w:p>
    <w:p w14:paraId="76B5A785" w14:textId="77777777" w:rsidR="001C274F" w:rsidRDefault="001C274F" w:rsidP="001C274F">
      <w:pPr>
        <w:pStyle w:val="Reference"/>
        <w:rPr>
          <w:lang w:eastAsia="en-AU"/>
        </w:rPr>
      </w:pPr>
      <w:r>
        <w:rPr>
          <w:lang w:eastAsia="en-AU"/>
        </w:rPr>
        <w:t xml:space="preserve">Productivity Commission 2009, </w:t>
      </w:r>
      <w:r>
        <w:rPr>
          <w:i/>
          <w:iCs/>
          <w:lang w:eastAsia="en-AU"/>
        </w:rPr>
        <w:t>Government drought support</w:t>
      </w:r>
      <w:r>
        <w:rPr>
          <w:lang w:eastAsia="en-AU"/>
        </w:rPr>
        <w:t>, Productivity Commission, Melbourne.</w:t>
      </w:r>
    </w:p>
    <w:p w14:paraId="31E89C11" w14:textId="77777777" w:rsidR="001C274F" w:rsidRDefault="001C274F" w:rsidP="001C274F">
      <w:pPr>
        <w:pStyle w:val="Heading3"/>
        <w:keepNext/>
      </w:pPr>
      <w:r>
        <w:lastRenderedPageBreak/>
        <w:t>Unpublished thesis</w:t>
      </w:r>
    </w:p>
    <w:p w14:paraId="43B810AB" w14:textId="77777777" w:rsidR="001C274F" w:rsidRDefault="001C274F" w:rsidP="001C274F">
      <w:pPr>
        <w:pStyle w:val="Reference"/>
        <w:rPr>
          <w:lang w:eastAsia="en-AU"/>
        </w:rPr>
      </w:pPr>
      <w:r>
        <w:rPr>
          <w:lang w:eastAsia="en-AU"/>
        </w:rPr>
        <w:t>Gladwin CH 1977, A model of farmers' decisions to adopt the recommendations of Plan Puebla, PhD thesis, Stanford University, California.</w:t>
      </w:r>
    </w:p>
    <w:p w14:paraId="07643775" w14:textId="77777777" w:rsidR="001C274F" w:rsidRDefault="001C274F" w:rsidP="001C274F">
      <w:pPr>
        <w:pStyle w:val="Heading3"/>
        <w:keepNext/>
      </w:pPr>
      <w:r>
        <w:t>Unpublished work</w:t>
      </w:r>
    </w:p>
    <w:p w14:paraId="2AB033FC" w14:textId="77777777" w:rsidR="001C274F" w:rsidRDefault="001C274F" w:rsidP="001C274F">
      <w:pPr>
        <w:pStyle w:val="Reference"/>
        <w:rPr>
          <w:lang w:eastAsia="en-AU"/>
        </w:rPr>
      </w:pPr>
      <w:r>
        <w:rPr>
          <w:lang w:eastAsia="en-AU"/>
        </w:rPr>
        <w:t>LEAP 2006, 'The role of government and other stakeholders in the development of agribusiness: some lessons from the literature', Unpublished manuscript, Laos Extension for Agriculture Project (LEAP) for the Sub-Working Group on Farmers and Agribusiness, Vientiane, Lao PDR.</w:t>
      </w:r>
    </w:p>
    <w:p w14:paraId="44C71207" w14:textId="77777777" w:rsidR="001C274F" w:rsidRDefault="001C274F" w:rsidP="001C274F">
      <w:pPr>
        <w:pStyle w:val="Heading3"/>
      </w:pPr>
      <w:r>
        <w:t>Newspaper or magazine article</w:t>
      </w:r>
    </w:p>
    <w:p w14:paraId="240B7B53" w14:textId="77777777" w:rsidR="001C274F" w:rsidRDefault="001C274F" w:rsidP="001C274F">
      <w:pPr>
        <w:pStyle w:val="Reference"/>
        <w:rPr>
          <w:lang w:eastAsia="en-AU"/>
        </w:rPr>
      </w:pPr>
      <w:r>
        <w:rPr>
          <w:lang w:eastAsia="en-AU"/>
        </w:rPr>
        <w:t xml:space="preserve">Manuk V 2007, 'PNG looks to co-ops', </w:t>
      </w:r>
      <w:r>
        <w:rPr>
          <w:i/>
          <w:iCs/>
          <w:lang w:eastAsia="en-AU"/>
        </w:rPr>
        <w:t>The National</w:t>
      </w:r>
      <w:r>
        <w:rPr>
          <w:lang w:eastAsia="en-AU"/>
        </w:rPr>
        <w:t>, 23rd October, Available from: &lt;</w:t>
      </w:r>
      <w:r w:rsidRPr="00A32F70">
        <w:rPr>
          <w:rStyle w:val="Hyperlink"/>
        </w:rPr>
        <w:t>http://www.thenational.com.pg/</w:t>
      </w:r>
      <w:r>
        <w:rPr>
          <w:lang w:eastAsia="en-AU"/>
        </w:rPr>
        <w:t>&gt; [20 February 2008].</w:t>
      </w:r>
    </w:p>
    <w:p w14:paraId="6786DE64" w14:textId="77777777" w:rsidR="001C274F" w:rsidRPr="009872A1" w:rsidRDefault="001C274F" w:rsidP="001C274F">
      <w:pPr>
        <w:pStyle w:val="Heading2"/>
      </w:pPr>
      <w:r w:rsidRPr="009872A1">
        <w:t>Quotations and respondent comments</w:t>
      </w:r>
    </w:p>
    <w:p w14:paraId="3C0E87DB" w14:textId="77777777" w:rsidR="001C274F" w:rsidRPr="009872A1" w:rsidRDefault="001C274F" w:rsidP="001C274F">
      <w:pPr>
        <w:pStyle w:val="BodyText"/>
      </w:pPr>
      <w:r w:rsidRPr="009872A1">
        <w:t xml:space="preserve">Put quotes </w:t>
      </w:r>
      <w:r>
        <w:t xml:space="preserve">of </w:t>
      </w:r>
      <w:r w:rsidRPr="009872A1">
        <w:t>less than two lines in the body of the text but in single quotes not double quotes, e.g. ‘it was obvious from the first trials…’ (Lee 2003, p. 23) followed by ‘the second trials indicated that</w:t>
      </w:r>
      <w:r w:rsidR="00235BAA">
        <w:t xml:space="preserve"> </w:t>
      </w:r>
      <w:r w:rsidRPr="009872A1">
        <w:t>…</w:t>
      </w:r>
      <w:r w:rsidR="00750FB0">
        <w:t>’</w:t>
      </w:r>
      <w:r>
        <w:t xml:space="preserve"> </w:t>
      </w:r>
      <w:r w:rsidRPr="009872A1">
        <w:t>(p. 29). If it is a quote from a respondent: ‘Maybe because everybody is trying to grow their business all the time and so they’re cutting prices to win business’ (Consultant).</w:t>
      </w:r>
      <w:r>
        <w:t xml:space="preserve"> For quotations within quotations use double quotes.</w:t>
      </w:r>
    </w:p>
    <w:p w14:paraId="147EBB1F" w14:textId="77777777" w:rsidR="001C274F" w:rsidRPr="009872A1" w:rsidRDefault="001C274F" w:rsidP="001C274F">
      <w:pPr>
        <w:pStyle w:val="BodyText"/>
      </w:pPr>
      <w:r w:rsidRPr="009872A1">
        <w:t>Quotations longer than two lines should be put in the ‘Quotation style’, which is 8 pt font and indented 0.5 cm from the left and right margins. It is not in italics and does not require quotation marks. For example, Goodman (2011, p. 13) says:</w:t>
      </w:r>
    </w:p>
    <w:p w14:paraId="5CDD5094" w14:textId="77777777" w:rsidR="001C274F" w:rsidRDefault="001C274F" w:rsidP="004B458C">
      <w:pPr>
        <w:pStyle w:val="Quotation"/>
      </w:pPr>
      <w:r w:rsidRPr="009872A1">
        <w:t>Interaction is key, and one of the more distinctive characteristic</w:t>
      </w:r>
      <w:r w:rsidR="00936E1F">
        <w:t>s</w:t>
      </w:r>
      <w:r w:rsidRPr="009872A1">
        <w:t xml:space="preserve"> of the focus group is the ability of group members to share their thoughts and ideas in a group setting [leading to a more] nuanced perspective on a topic than could have been discovered through individual interviews.</w:t>
      </w:r>
    </w:p>
    <w:p w14:paraId="31692013" w14:textId="77777777" w:rsidR="001C274F" w:rsidRPr="009872A1" w:rsidRDefault="001C274F" w:rsidP="001C274F">
      <w:pPr>
        <w:pStyle w:val="BodyText"/>
      </w:pPr>
      <w:r>
        <w:t>Some electronic sources don't include page numbers so unless they include paragraph numbers, cite the heading, e.g. Brown (2016, Conclusion).</w:t>
      </w:r>
    </w:p>
    <w:p w14:paraId="2900385E" w14:textId="77777777" w:rsidR="001C274F" w:rsidRPr="009872A1" w:rsidRDefault="001C274F" w:rsidP="001C274F">
      <w:pPr>
        <w:pStyle w:val="Heading2"/>
      </w:pPr>
      <w:r w:rsidRPr="009872A1">
        <w:t>Acknowledgements</w:t>
      </w:r>
    </w:p>
    <w:p w14:paraId="087F4239" w14:textId="77777777" w:rsidR="001C274F" w:rsidRPr="009872A1" w:rsidRDefault="001C274F" w:rsidP="001C274F">
      <w:pPr>
        <w:pStyle w:val="BodyText"/>
      </w:pPr>
      <w:r w:rsidRPr="009872A1">
        <w:t xml:space="preserve">Acknowledgements are to be placed at the end of your main text, before the reference list. Use the </w:t>
      </w:r>
      <w:r>
        <w:t>Level 2 style for the heading</w:t>
      </w:r>
      <w:r w:rsidRPr="009872A1">
        <w:t>.</w:t>
      </w:r>
    </w:p>
    <w:p w14:paraId="151C308B" w14:textId="77777777" w:rsidR="001C274F" w:rsidRPr="009872A1" w:rsidRDefault="001C274F" w:rsidP="001C274F">
      <w:pPr>
        <w:pStyle w:val="Heading1"/>
      </w:pPr>
      <w:r w:rsidRPr="009872A1">
        <w:t>Submission of the paper</w:t>
      </w:r>
    </w:p>
    <w:p w14:paraId="757F01EF" w14:textId="77777777" w:rsidR="001C274F" w:rsidRPr="009872A1" w:rsidRDefault="001C274F" w:rsidP="001C274F">
      <w:pPr>
        <w:pStyle w:val="BodyText"/>
      </w:pPr>
      <w:r>
        <w:t xml:space="preserve">Attach your </w:t>
      </w:r>
      <w:r w:rsidRPr="009872A1">
        <w:t xml:space="preserve">paper for publication in the </w:t>
      </w:r>
      <w:r>
        <w:rPr>
          <w:i/>
        </w:rPr>
        <w:t>REIS</w:t>
      </w:r>
      <w:r w:rsidRPr="009872A1">
        <w:rPr>
          <w:i/>
        </w:rPr>
        <w:t xml:space="preserve"> Journal</w:t>
      </w:r>
      <w:r w:rsidRPr="009872A1">
        <w:t xml:space="preserve"> to an electronic message addressed to:</w:t>
      </w:r>
      <w:r>
        <w:t xml:space="preserve"> </w:t>
      </w:r>
      <w:r w:rsidRPr="007D3371">
        <w:rPr>
          <w:rStyle w:val="Hyperlink"/>
          <w:sz w:val="18"/>
          <w:szCs w:val="18"/>
        </w:rPr>
        <w:t>reiseditor@apen.org.au</w:t>
      </w:r>
      <w:r>
        <w:t xml:space="preserve">. </w:t>
      </w:r>
      <w:r w:rsidRPr="009872A1">
        <w:t>The Journal editor will acknowledge receipt of the document within one week. If you do not receive a reply within one week</w:t>
      </w:r>
      <w:r>
        <w:t>,</w:t>
      </w:r>
      <w:r w:rsidRPr="009872A1">
        <w:t xml:space="preserve"> please send your paper again. </w:t>
      </w:r>
    </w:p>
    <w:p w14:paraId="247A2BEE" w14:textId="77777777" w:rsidR="001C274F" w:rsidRDefault="001C274F" w:rsidP="001C274F">
      <w:pPr>
        <w:pStyle w:val="Heading1"/>
      </w:pPr>
      <w:r>
        <w:t>Authorship, copyright and submission declaration</w:t>
      </w:r>
    </w:p>
    <w:p w14:paraId="7DF417E8" w14:textId="77777777" w:rsidR="001C274F" w:rsidRDefault="001C274F" w:rsidP="001C274F">
      <w:pPr>
        <w:pStyle w:val="BodyText"/>
        <w:rPr>
          <w:lang w:eastAsia="en-AU"/>
        </w:rPr>
      </w:pPr>
      <w:r>
        <w:rPr>
          <w:lang w:eastAsia="en-AU"/>
        </w:rPr>
        <w:t xml:space="preserve">When submitting a manuscript corresponding author will be asked to submit an </w:t>
      </w:r>
      <w:r w:rsidRPr="007D3371">
        <w:rPr>
          <w:i/>
        </w:rPr>
        <w:t>Authorship, copyright and submission declaration</w:t>
      </w:r>
      <w:r>
        <w:t>, which is available from the journal web site.</w:t>
      </w:r>
      <w:r>
        <w:rPr>
          <w:lang w:eastAsia="en-AU"/>
        </w:rPr>
        <w:t xml:space="preserve"> It affirms that:</w:t>
      </w:r>
    </w:p>
    <w:p w14:paraId="1846264E" w14:textId="77777777" w:rsidR="00122808" w:rsidRDefault="00122808" w:rsidP="00122808">
      <w:pPr>
        <w:pStyle w:val="ListBullet"/>
        <w:numPr>
          <w:ilvl w:val="0"/>
          <w:numId w:val="7"/>
        </w:numPr>
        <w:tabs>
          <w:tab w:val="clear" w:pos="567"/>
        </w:tabs>
        <w:ind w:left="284" w:hanging="284"/>
        <w:rPr>
          <w:lang w:eastAsia="en-AU"/>
        </w:rPr>
      </w:pPr>
      <w:r>
        <w:rPr>
          <w:lang w:eastAsia="en-AU"/>
        </w:rPr>
        <w:t>The author(s) have been involved in preparation of the manuscript, agree with the order of authors on the manuscript and it does not exclude individuals who have had a major role in the design, conduct or write-up of the material contained in the paper.</w:t>
      </w:r>
    </w:p>
    <w:p w14:paraId="56383E19" w14:textId="77777777" w:rsidR="00122808" w:rsidRDefault="00122808" w:rsidP="00122808">
      <w:pPr>
        <w:pStyle w:val="ListBullet"/>
        <w:numPr>
          <w:ilvl w:val="0"/>
          <w:numId w:val="7"/>
        </w:numPr>
        <w:tabs>
          <w:tab w:val="clear" w:pos="567"/>
        </w:tabs>
        <w:ind w:left="284" w:hanging="284"/>
        <w:rPr>
          <w:lang w:eastAsia="en-AU"/>
        </w:rPr>
      </w:pPr>
      <w:r>
        <w:rPr>
          <w:lang w:eastAsia="en-AU"/>
        </w:rPr>
        <w:t>Individuals who have had a significant but not major role in the writing of the paper, the project or the research are acknowledged in the Acknowledgements section.</w:t>
      </w:r>
    </w:p>
    <w:p w14:paraId="46B33506" w14:textId="77777777" w:rsidR="00122808" w:rsidRDefault="00122808" w:rsidP="00122808">
      <w:pPr>
        <w:pStyle w:val="ListBullet"/>
        <w:numPr>
          <w:ilvl w:val="0"/>
          <w:numId w:val="7"/>
        </w:numPr>
        <w:tabs>
          <w:tab w:val="clear" w:pos="567"/>
        </w:tabs>
        <w:ind w:left="284" w:hanging="284"/>
        <w:rPr>
          <w:lang w:eastAsia="en-AU"/>
        </w:rPr>
      </w:pPr>
      <w:r>
        <w:rPr>
          <w:lang w:eastAsia="en-AU"/>
        </w:rPr>
        <w:t>The manuscript contains original work of the author(s) listed and where you have included the work of others this has been fully and appropriately acknowledged.</w:t>
      </w:r>
    </w:p>
    <w:p w14:paraId="64060F41" w14:textId="77777777" w:rsidR="00122808" w:rsidRDefault="00122808" w:rsidP="00122808">
      <w:pPr>
        <w:pStyle w:val="ListBullet"/>
        <w:numPr>
          <w:ilvl w:val="0"/>
          <w:numId w:val="7"/>
        </w:numPr>
        <w:tabs>
          <w:tab w:val="clear" w:pos="567"/>
        </w:tabs>
        <w:ind w:left="284" w:hanging="284"/>
        <w:rPr>
          <w:lang w:eastAsia="en-AU"/>
        </w:rPr>
      </w:pPr>
      <w:r>
        <w:rPr>
          <w:lang w:eastAsia="en-AU"/>
        </w:rPr>
        <w:t>The work has not been published previously in a peer-reviewed journal (except as part of an academic thesis, report to funding body or working paper).</w:t>
      </w:r>
    </w:p>
    <w:p w14:paraId="578415EA" w14:textId="77777777" w:rsidR="00122808" w:rsidRDefault="00122808" w:rsidP="00122808">
      <w:pPr>
        <w:pStyle w:val="ListBullet"/>
        <w:numPr>
          <w:ilvl w:val="0"/>
          <w:numId w:val="7"/>
        </w:numPr>
        <w:tabs>
          <w:tab w:val="clear" w:pos="567"/>
        </w:tabs>
        <w:ind w:left="284" w:hanging="284"/>
        <w:rPr>
          <w:lang w:eastAsia="en-AU"/>
        </w:rPr>
      </w:pPr>
      <w:r>
        <w:rPr>
          <w:lang w:eastAsia="en-AU"/>
        </w:rPr>
        <w:t>The manuscript is not under consideration for publication elsewhere or won't be while it is being considered by REIS and if it is accepted for publication by REIS.</w:t>
      </w:r>
    </w:p>
    <w:p w14:paraId="0149A208" w14:textId="77777777" w:rsidR="00122808" w:rsidRDefault="00122808" w:rsidP="00122808">
      <w:pPr>
        <w:pStyle w:val="ListBullet"/>
        <w:numPr>
          <w:ilvl w:val="0"/>
          <w:numId w:val="7"/>
        </w:numPr>
        <w:tabs>
          <w:tab w:val="clear" w:pos="567"/>
        </w:tabs>
        <w:ind w:left="284" w:hanging="284"/>
        <w:rPr>
          <w:lang w:eastAsia="en-AU"/>
        </w:rPr>
      </w:pPr>
      <w:r>
        <w:rPr>
          <w:lang w:eastAsia="en-AU"/>
        </w:rPr>
        <w:t>The authors(s) are willing to provide clarifications, corrections and retractions of mistakes to published papers.</w:t>
      </w:r>
    </w:p>
    <w:p w14:paraId="00D9AF3A" w14:textId="77777777" w:rsidR="00122808" w:rsidRDefault="00122808" w:rsidP="00122808">
      <w:pPr>
        <w:pStyle w:val="ListBullet"/>
        <w:numPr>
          <w:ilvl w:val="0"/>
          <w:numId w:val="7"/>
        </w:numPr>
        <w:tabs>
          <w:tab w:val="clear" w:pos="567"/>
        </w:tabs>
        <w:ind w:left="284" w:hanging="284"/>
        <w:rPr>
          <w:lang w:eastAsia="en-AU"/>
        </w:rPr>
      </w:pPr>
      <w:r>
        <w:rPr>
          <w:lang w:eastAsia="en-AU"/>
        </w:rPr>
        <w:t>The research received ethics approval or followed ethical processes as required by your employer, institution, funder or country laws, with details of the ethics approval available if required. All data will be kept private and confidential.</w:t>
      </w:r>
    </w:p>
    <w:p w14:paraId="3A23FEE4" w14:textId="77777777" w:rsidR="00122808" w:rsidRDefault="00122808" w:rsidP="00122808">
      <w:pPr>
        <w:pStyle w:val="ListBullet"/>
        <w:numPr>
          <w:ilvl w:val="0"/>
          <w:numId w:val="7"/>
        </w:numPr>
        <w:tabs>
          <w:tab w:val="clear" w:pos="567"/>
        </w:tabs>
        <w:ind w:left="284" w:hanging="284"/>
        <w:rPr>
          <w:lang w:eastAsia="en-AU"/>
        </w:rPr>
      </w:pPr>
      <w:r>
        <w:rPr>
          <w:lang w:eastAsia="en-AU"/>
        </w:rPr>
        <w:t>All participant involvement in the research has been voluntary and based on sufficient information and adequate understanding of both the proposed research and the implications of participation in it. Participants were provided with an opportunity to consent and to withdraw at any time.</w:t>
      </w:r>
    </w:p>
    <w:p w14:paraId="11F6465C" w14:textId="77777777" w:rsidR="00122808" w:rsidRDefault="00122808" w:rsidP="00122808">
      <w:pPr>
        <w:pStyle w:val="ListBullet"/>
        <w:numPr>
          <w:ilvl w:val="0"/>
          <w:numId w:val="7"/>
        </w:numPr>
        <w:tabs>
          <w:tab w:val="clear" w:pos="567"/>
        </w:tabs>
        <w:ind w:left="284" w:hanging="284"/>
        <w:rPr>
          <w:lang w:eastAsia="en-AU"/>
        </w:rPr>
      </w:pPr>
      <w:r>
        <w:rPr>
          <w:lang w:eastAsia="en-AU"/>
        </w:rPr>
        <w:t>Where financial support for the research was provided, indicate who provided this support and briefly describe their role, if any, in the conduct of the research. If no role, state this. They can be acknowledged in the Acknowledgments section.</w:t>
      </w:r>
    </w:p>
    <w:p w14:paraId="2FF5F444" w14:textId="77777777" w:rsidR="00122808" w:rsidRDefault="00122808" w:rsidP="00122808">
      <w:pPr>
        <w:pStyle w:val="ListBullet"/>
        <w:numPr>
          <w:ilvl w:val="0"/>
          <w:numId w:val="7"/>
        </w:numPr>
        <w:tabs>
          <w:tab w:val="clear" w:pos="567"/>
        </w:tabs>
        <w:ind w:left="284" w:hanging="284"/>
        <w:rPr>
          <w:lang w:eastAsia="en-AU"/>
        </w:rPr>
      </w:pPr>
      <w:r>
        <w:rPr>
          <w:lang w:eastAsia="en-AU"/>
        </w:rPr>
        <w:lastRenderedPageBreak/>
        <w:t>All clearances have been obtained from relevant authorities, including funder, for publication.</w:t>
      </w:r>
    </w:p>
    <w:p w14:paraId="09A89B10" w14:textId="77777777" w:rsidR="001C274F" w:rsidRDefault="00122808" w:rsidP="00122808">
      <w:pPr>
        <w:pStyle w:val="ListBullet"/>
        <w:numPr>
          <w:ilvl w:val="0"/>
          <w:numId w:val="7"/>
        </w:numPr>
        <w:tabs>
          <w:tab w:val="clear" w:pos="567"/>
        </w:tabs>
        <w:ind w:left="284" w:hanging="284"/>
        <w:rPr>
          <w:lang w:eastAsia="en-AU"/>
        </w:rPr>
      </w:pPr>
      <w:r>
        <w:rPr>
          <w:lang w:eastAsia="en-AU"/>
        </w:rPr>
        <w:t xml:space="preserve">Permission has been obtained for all reproductions from copyrighted sources and is acknowledged in the appropriate place in the manuscript. </w:t>
      </w:r>
      <w:r w:rsidR="000D73E5">
        <w:rPr>
          <w:lang w:eastAsia="en-AU"/>
        </w:rPr>
        <w:t>In interpreting this our guidelines are:</w:t>
      </w:r>
    </w:p>
    <w:p w14:paraId="24517DCB" w14:textId="77777777" w:rsidR="000D73E5" w:rsidRDefault="000D73E5" w:rsidP="000D73E5">
      <w:pPr>
        <w:pStyle w:val="ListBullet2"/>
        <w:rPr>
          <w:lang w:eastAsia="en-AU"/>
        </w:rPr>
      </w:pPr>
      <w:r>
        <w:rPr>
          <w:lang w:eastAsia="en-AU"/>
        </w:rPr>
        <w:t>Reproductions means a direct copy of a diagram from another source (i.e. basically a scan or reproduction of the content), then you need to get permission to use – particularly from a journal or a book or other publication that holds copyright – even if it is one you developed. You need to provide the reference along with the page number below it: 'Source: Reference and page number'.</w:t>
      </w:r>
    </w:p>
    <w:p w14:paraId="6553AB70" w14:textId="77777777" w:rsidR="000D73E5" w:rsidRDefault="000D73E5" w:rsidP="000D73E5">
      <w:pPr>
        <w:pStyle w:val="ListBullet2"/>
        <w:rPr>
          <w:lang w:eastAsia="en-AU"/>
        </w:rPr>
      </w:pPr>
      <w:r>
        <w:rPr>
          <w:lang w:eastAsia="en-AU"/>
        </w:rPr>
        <w:t>Where you alter a diagram from another source, sufficiently to claim you have adapted it then you need to acknowledge the source by putting a statement below it: 'Source: Adapted from Reference and page number'.</w:t>
      </w:r>
    </w:p>
    <w:p w14:paraId="55E4C798" w14:textId="77777777" w:rsidR="000D73E5" w:rsidRPr="00860DE5" w:rsidRDefault="000D73E5" w:rsidP="000D73E5">
      <w:pPr>
        <w:pStyle w:val="ListBullet2"/>
        <w:rPr>
          <w:lang w:eastAsia="en-AU"/>
        </w:rPr>
      </w:pPr>
      <w:r>
        <w:rPr>
          <w:lang w:eastAsia="en-AU"/>
        </w:rPr>
        <w:t>Where you have used text-based theory to develop a diagram then just acknowledge the source, perhaps something like: 'Source: Developed from reference'.</w:t>
      </w:r>
    </w:p>
    <w:p w14:paraId="44C9FF3D" w14:textId="77777777" w:rsidR="001C274F" w:rsidRDefault="001C274F" w:rsidP="001C274F">
      <w:pPr>
        <w:pStyle w:val="Heading2"/>
      </w:pPr>
      <w:r>
        <w:t>Declaration of interest</w:t>
      </w:r>
    </w:p>
    <w:p w14:paraId="1451AC04" w14:textId="77777777" w:rsidR="001C274F" w:rsidRPr="00A5112D" w:rsidRDefault="001C274F" w:rsidP="001C274F">
      <w:pPr>
        <w:pStyle w:val="BodyText"/>
        <w:rPr>
          <w:lang w:eastAsia="en-AU"/>
        </w:rPr>
      </w:pPr>
      <w:r>
        <w:rPr>
          <w:lang w:eastAsia="en-AU"/>
        </w:rPr>
        <w:t>A declaration of interest is a disclosure of a conflict of interest by an author or authors of a manuscript submitted for publication with the journal. A definition of conflict of interest can be found in the Guidelines on Good Publication Practice by the Committee on Publication Ethics (COPE). A conflict of interest is some financial or personal relationship that may be perceived to have influenced or biased the work. Disclose any interests in the authorship, copyright and submission declaration form. Manuscripts will not necessarily be rejected when conflicts of interests are declared, but the statement will be published if the article is accepted. It there are none then state following Declarations of interest: None.</w:t>
      </w:r>
    </w:p>
    <w:p w14:paraId="1C40DBAA" w14:textId="77777777" w:rsidR="001C274F" w:rsidRDefault="001C274F" w:rsidP="001C274F">
      <w:pPr>
        <w:pStyle w:val="Heading2"/>
      </w:pPr>
      <w:r>
        <w:t>Copyright</w:t>
      </w:r>
      <w:r w:rsidR="007B4308">
        <w:t xml:space="preserve"> and permissions</w:t>
      </w:r>
    </w:p>
    <w:p w14:paraId="7F37C3CC" w14:textId="77777777" w:rsidR="001C274F" w:rsidRDefault="001C274F" w:rsidP="001C274F">
      <w:pPr>
        <w:pStyle w:val="BodyText"/>
        <w:rPr>
          <w:lang w:eastAsia="en-AU"/>
        </w:rPr>
      </w:pPr>
      <w:bookmarkStart w:id="10" w:name="_Hlk48830721"/>
      <w:r>
        <w:rPr>
          <w:lang w:eastAsia="en-AU"/>
        </w:rPr>
        <w:t xml:space="preserve">All articles published by REIS </w:t>
      </w:r>
      <w:r w:rsidR="00C236BD">
        <w:rPr>
          <w:lang w:eastAsia="en-AU"/>
        </w:rPr>
        <w:t xml:space="preserve">are open access which means </w:t>
      </w:r>
      <w:r w:rsidR="00C236BD" w:rsidRPr="00C236BD">
        <w:rPr>
          <w:lang w:eastAsia="en-AU"/>
        </w:rPr>
        <w:t xml:space="preserve">that all content is freely available without charge to the user or </w:t>
      </w:r>
      <w:r w:rsidR="00C236BD">
        <w:rPr>
          <w:lang w:eastAsia="en-AU"/>
        </w:rPr>
        <w:t>their</w:t>
      </w:r>
      <w:r w:rsidR="00C236BD" w:rsidRPr="00C236BD">
        <w:rPr>
          <w:lang w:eastAsia="en-AU"/>
        </w:rPr>
        <w:t xml:space="preserve"> institution. Users can read, download, copy, distribute, print, search, or link to the full texts of the articles, or use them for any other lawful purpose, without asking prior permission from the publisher or the author.</w:t>
      </w:r>
      <w:r w:rsidR="00C236BD">
        <w:rPr>
          <w:lang w:eastAsia="en-AU"/>
        </w:rPr>
        <w:t xml:space="preserve"> </w:t>
      </w:r>
      <w:bookmarkStart w:id="11" w:name="_Hlk48830327"/>
      <w:r w:rsidR="00C236BD" w:rsidRPr="00C236BD">
        <w:rPr>
          <w:lang w:eastAsia="en-AU"/>
        </w:rPr>
        <w:t>Users can use, reuse and build upon the material published in the journal but only for non-commercial purposes</w:t>
      </w:r>
      <w:r w:rsidR="00C53EA8">
        <w:rPr>
          <w:lang w:eastAsia="en-AU"/>
        </w:rPr>
        <w:t>.</w:t>
      </w:r>
      <w:bookmarkEnd w:id="10"/>
      <w:bookmarkEnd w:id="11"/>
    </w:p>
    <w:p w14:paraId="195F6E69" w14:textId="77777777" w:rsidR="001C274F" w:rsidRDefault="001C274F" w:rsidP="001C274F">
      <w:pPr>
        <w:pStyle w:val="Heading2"/>
      </w:pPr>
      <w:r>
        <w:t>Ethics</w:t>
      </w:r>
    </w:p>
    <w:p w14:paraId="7D1B6B03" w14:textId="77777777" w:rsidR="001C274F" w:rsidRPr="00860DE5" w:rsidRDefault="001C274F" w:rsidP="001C274F">
      <w:pPr>
        <w:pStyle w:val="BodyText"/>
        <w:rPr>
          <w:lang w:eastAsia="en-AU"/>
        </w:rPr>
      </w:pPr>
      <w:r w:rsidRPr="00860DE5">
        <w:rPr>
          <w:lang w:eastAsia="en-AU"/>
        </w:rPr>
        <w:t xml:space="preserve">All research articles that involve collecting data from or about people should have ethics approval if required by their employer, institution, funder or country laws. Research should be conducted according to the principles outlined in the </w:t>
      </w:r>
      <w:r w:rsidRPr="00860DE5">
        <w:rPr>
          <w:i/>
          <w:lang w:eastAsia="en-AU"/>
        </w:rPr>
        <w:t>National Statement on Ethical Conduct in Human Research 2007</w:t>
      </w:r>
      <w:r w:rsidRPr="00860DE5">
        <w:rPr>
          <w:lang w:eastAsia="en-AU"/>
        </w:rPr>
        <w:t xml:space="preserve"> (Updated May 2015) (</w:t>
      </w:r>
      <w:r w:rsidRPr="007D3371">
        <w:rPr>
          <w:rStyle w:val="Hyperlink"/>
          <w:sz w:val="18"/>
          <w:szCs w:val="18"/>
        </w:rPr>
        <w:t>www.nhmrc.gov.au/guidelines/publications/e72</w:t>
      </w:r>
      <w:r w:rsidRPr="00860DE5">
        <w:t>) or equivalent for the country where the research was conducted.</w:t>
      </w:r>
    </w:p>
    <w:p w14:paraId="1FE54D20" w14:textId="77777777" w:rsidR="001C274F" w:rsidRPr="009872A1" w:rsidRDefault="001C274F" w:rsidP="001C274F">
      <w:pPr>
        <w:pStyle w:val="Heading1"/>
      </w:pPr>
      <w:bookmarkStart w:id="12" w:name="_Hlk48831224"/>
      <w:r w:rsidRPr="009872A1">
        <w:t>Refereeing process</w:t>
      </w:r>
    </w:p>
    <w:p w14:paraId="3ACC81FE" w14:textId="77777777" w:rsidR="001C274F" w:rsidRPr="009872A1" w:rsidRDefault="00122808" w:rsidP="001C274F">
      <w:pPr>
        <w:pStyle w:val="BodyText"/>
      </w:pPr>
      <w:r w:rsidRPr="009872A1">
        <w:t xml:space="preserve">When a paper is submitted, the Editor will organise the </w:t>
      </w:r>
      <w:r>
        <w:t>double-blind review</w:t>
      </w:r>
      <w:r w:rsidRPr="009872A1">
        <w:t xml:space="preserve"> process</w:t>
      </w:r>
      <w:r>
        <w:t xml:space="preserve"> to involve two experts in the field of agricultural extension</w:t>
      </w:r>
      <w:r w:rsidRPr="009872A1">
        <w:t>. In the event of strong disagreement between two referees a third referee may be appointed.</w:t>
      </w:r>
    </w:p>
    <w:bookmarkEnd w:id="12"/>
    <w:p w14:paraId="52A3BE0C" w14:textId="77777777" w:rsidR="001C274F" w:rsidRPr="009872A1" w:rsidRDefault="001C274F" w:rsidP="001C274F">
      <w:pPr>
        <w:pStyle w:val="Heading2"/>
      </w:pPr>
      <w:r w:rsidRPr="009872A1">
        <w:t>Version</w:t>
      </w:r>
    </w:p>
    <w:p w14:paraId="6EBEA4DA" w14:textId="77777777" w:rsidR="00901199" w:rsidRPr="009872A1" w:rsidRDefault="00901199" w:rsidP="00901199">
      <w:r>
        <w:t>March 2021</w:t>
      </w:r>
    </w:p>
    <w:sectPr w:rsidR="00901199" w:rsidRPr="009872A1" w:rsidSect="00D3550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284"/>
      <w:cols w:space="709"/>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2ADFD" w14:textId="77777777" w:rsidR="006033AA" w:rsidRDefault="006033AA">
      <w:r>
        <w:separator/>
      </w:r>
    </w:p>
    <w:p w14:paraId="3A5987C5" w14:textId="77777777" w:rsidR="006033AA" w:rsidRDefault="006033AA"/>
  </w:endnote>
  <w:endnote w:type="continuationSeparator" w:id="0">
    <w:p w14:paraId="65268E3C" w14:textId="77777777" w:rsidR="006033AA" w:rsidRDefault="006033AA">
      <w:r>
        <w:continuationSeparator/>
      </w:r>
    </w:p>
    <w:p w14:paraId="132B9294" w14:textId="77777777" w:rsidR="006033AA" w:rsidRDefault="00603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439829"/>
      <w:docPartObj>
        <w:docPartGallery w:val="Page Numbers (Bottom of Page)"/>
        <w:docPartUnique/>
      </w:docPartObj>
    </w:sdtPr>
    <w:sdtEndPr/>
    <w:sdtContent>
      <w:p w14:paraId="0C1AFFD1" w14:textId="77777777" w:rsidR="009725FB" w:rsidRDefault="00CE3F72">
        <w:pPr>
          <w:pStyle w:val="Footer"/>
        </w:pPr>
        <w:r>
          <w:fldChar w:fldCharType="begin"/>
        </w:r>
        <w:r w:rsidR="009725FB">
          <w:instrText xml:space="preserve"> PAGE   \* MERGEFORMAT </w:instrText>
        </w:r>
        <w:r>
          <w:fldChar w:fldCharType="separate"/>
        </w:r>
        <w:r w:rsidR="00994D91">
          <w:t>2</w:t>
        </w:r>
        <w:r>
          <w:fldChar w:fldCharType="end"/>
        </w:r>
        <w:r w:rsidR="009725FB">
          <w:rPr>
            <w:sz w:val="14"/>
            <w:szCs w:val="14"/>
          </w:rPr>
          <w:tab/>
        </w:r>
        <w:hyperlink r:id="rId1" w:history="1">
          <w:r w:rsidR="00146265" w:rsidRPr="00C7614C">
            <w:rPr>
              <w:rStyle w:val="Hyperlink"/>
            </w:rPr>
            <w:t>http://www.apen.org.au/rural-extension-and-innovation-systems-journal</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76E65" w14:textId="77777777" w:rsidR="009725FB" w:rsidRDefault="009725FB">
    <w:pPr>
      <w:pStyle w:val="Footer"/>
      <w:jc w:val="right"/>
    </w:pPr>
    <w:r>
      <w:rPr>
        <w:sz w:val="14"/>
        <w:szCs w:val="14"/>
      </w:rPr>
      <w:tab/>
    </w:r>
    <w:hyperlink r:id="rId1" w:history="1">
      <w:r w:rsidR="00146265" w:rsidRPr="00C7614C">
        <w:rPr>
          <w:rStyle w:val="Hyperlink"/>
        </w:rPr>
        <w:t>http://www.apen.org.au/rural-extension-and-innovation-systems-journal</w:t>
      </w:r>
    </w:hyperlink>
    <w:r>
      <w:tab/>
    </w:r>
    <w:sdt>
      <w:sdtPr>
        <w:id w:val="957374138"/>
        <w:docPartObj>
          <w:docPartGallery w:val="Page Numbers (Bottom of Page)"/>
          <w:docPartUnique/>
        </w:docPartObj>
      </w:sdtPr>
      <w:sdtEndPr/>
      <w:sdtContent>
        <w:r w:rsidR="00CE3F72">
          <w:fldChar w:fldCharType="begin"/>
        </w:r>
        <w:r>
          <w:instrText xml:space="preserve"> PAGE   \* MERGEFORMAT </w:instrText>
        </w:r>
        <w:r w:rsidR="00CE3F72">
          <w:fldChar w:fldCharType="separate"/>
        </w:r>
        <w:r w:rsidR="00994D91">
          <w:t>1</w:t>
        </w:r>
        <w:r w:rsidR="00CE3F7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9C5A1" w14:textId="77777777" w:rsidR="00146265" w:rsidRDefault="0014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C668F" w14:textId="77777777" w:rsidR="006033AA" w:rsidRDefault="006033AA">
      <w:r>
        <w:separator/>
      </w:r>
    </w:p>
    <w:p w14:paraId="4F8740E2" w14:textId="77777777" w:rsidR="006033AA" w:rsidRDefault="006033AA"/>
  </w:footnote>
  <w:footnote w:type="continuationSeparator" w:id="0">
    <w:p w14:paraId="7665A2FA" w14:textId="77777777" w:rsidR="006033AA" w:rsidRDefault="006033AA">
      <w:r>
        <w:continuationSeparator/>
      </w:r>
    </w:p>
    <w:p w14:paraId="342A4FFA" w14:textId="77777777" w:rsidR="006033AA" w:rsidRDefault="00603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1DEBF" w14:textId="77777777" w:rsidR="00FA3E14" w:rsidRDefault="00D3550C" w:rsidP="009725FB">
    <w:pPr>
      <w:pStyle w:val="Header"/>
    </w:pPr>
    <w:r w:rsidRPr="00D3550C">
      <w:t xml:space="preserve">Rural Extension &amp; Innovation Systems Journal, 20## ##(#) - </w:t>
    </w:r>
    <w:r w:rsidR="009725FB">
      <w:t>Research</w:t>
    </w:r>
    <w:r w:rsidRPr="00D3550C">
      <w:tab/>
      <w:t>© Copyright APEN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2B038" w14:textId="77777777" w:rsidR="00D3550C" w:rsidRDefault="00D3550C">
    <w:pPr>
      <w:pStyle w:val="Header"/>
    </w:pPr>
    <w:r>
      <w:t>Rural Extension &amp; Innovation Systems Journal, 20## ##(#) - Research</w:t>
    </w:r>
    <w:r>
      <w:tab/>
      <w:t>© Copyright APEN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13C4E" w14:textId="77777777" w:rsidR="00146265" w:rsidRDefault="00146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05C5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7A3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F4E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FA4F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06A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343C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1CF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A3F4C"/>
    <w:lvl w:ilvl="0">
      <w:start w:val="1"/>
      <w:numFmt w:val="bullet"/>
      <w:pStyle w:val="ListBullet2"/>
      <w:lvlText w:val="o"/>
      <w:lvlJc w:val="left"/>
      <w:pPr>
        <w:ind w:left="927" w:hanging="360"/>
      </w:pPr>
      <w:rPr>
        <w:rFonts w:ascii="Courier New" w:hAnsi="Courier New" w:cs="Courier New" w:hint="default"/>
      </w:rPr>
    </w:lvl>
  </w:abstractNum>
  <w:abstractNum w:abstractNumId="8" w15:restartNumberingAfterBreak="0">
    <w:nsid w:val="FFFFFF88"/>
    <w:multiLevelType w:val="singleLevel"/>
    <w:tmpl w:val="DB804D6A"/>
    <w:lvl w:ilvl="0">
      <w:start w:val="1"/>
      <w:numFmt w:val="decimal"/>
      <w:pStyle w:val="ListNumber"/>
      <w:lvlText w:val="%1."/>
      <w:lvlJc w:val="left"/>
      <w:pPr>
        <w:tabs>
          <w:tab w:val="num" w:pos="567"/>
        </w:tabs>
        <w:ind w:left="567" w:hanging="567"/>
      </w:pPr>
      <w:rPr>
        <w:rFonts w:hint="default"/>
      </w:rPr>
    </w:lvl>
  </w:abstractNum>
  <w:abstractNum w:abstractNumId="9" w15:restartNumberingAfterBreak="0">
    <w:nsid w:val="FFFFFF89"/>
    <w:multiLevelType w:val="singleLevel"/>
    <w:tmpl w:val="6F8E0A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CAAA52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Appendix %6:"/>
      <w:lvlJc w:val="left"/>
      <w:pPr>
        <w:tabs>
          <w:tab w:val="num" w:pos="3686"/>
        </w:tabs>
        <w:ind w:left="3686" w:hanging="2552"/>
      </w:pPr>
      <w:rPr>
        <w:rFonts w:hint="default"/>
      </w:rPr>
    </w:lvl>
    <w:lvl w:ilvl="6">
      <w:start w:val="1"/>
      <w:numFmt w:val="decimal"/>
      <w:lvlText w:val="A%6.%7"/>
      <w:lvlJc w:val="left"/>
      <w:pPr>
        <w:tabs>
          <w:tab w:val="num" w:pos="720"/>
        </w:tabs>
        <w:ind w:left="0" w:firstLine="0"/>
      </w:pPr>
      <w:rPr>
        <w:rFonts w:hint="default"/>
      </w:rPr>
    </w:lvl>
    <w:lvl w:ilvl="7">
      <w:start w:val="1"/>
      <w:numFmt w:val="decimal"/>
      <w:lvlText w:val="A%6.%7.%8"/>
      <w:lvlJc w:val="left"/>
      <w:pPr>
        <w:tabs>
          <w:tab w:val="num" w:pos="1080"/>
        </w:tabs>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32C5C22"/>
    <w:multiLevelType w:val="singleLevel"/>
    <w:tmpl w:val="673E4EF0"/>
    <w:lvl w:ilvl="0">
      <w:start w:val="1"/>
      <w:numFmt w:val="lowerRoman"/>
      <w:lvlText w:val="(%1)"/>
      <w:lvlJc w:val="left"/>
      <w:pPr>
        <w:tabs>
          <w:tab w:val="num" w:pos="720"/>
        </w:tabs>
        <w:ind w:left="720" w:hanging="720"/>
      </w:pPr>
      <w:rPr>
        <w:rFonts w:hint="default"/>
      </w:rPr>
    </w:lvl>
  </w:abstractNum>
  <w:abstractNum w:abstractNumId="12" w15:restartNumberingAfterBreak="0">
    <w:nsid w:val="10AE0619"/>
    <w:multiLevelType w:val="hybridMultilevel"/>
    <w:tmpl w:val="3466B5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A79C7"/>
    <w:multiLevelType w:val="hybridMultilevel"/>
    <w:tmpl w:val="95D0EA5A"/>
    <w:lvl w:ilvl="0" w:tplc="FFFFFFFF">
      <w:start w:val="1"/>
      <w:numFmt w:val="bullet"/>
      <w:lvlText w:val=""/>
      <w:lvlJc w:val="left"/>
      <w:pPr>
        <w:tabs>
          <w:tab w:val="num" w:pos="820"/>
        </w:tabs>
        <w:ind w:left="820" w:hanging="360"/>
      </w:pPr>
      <w:rPr>
        <w:rFonts w:ascii="Symbol" w:hAnsi="Symbol" w:hint="default"/>
      </w:rPr>
    </w:lvl>
    <w:lvl w:ilvl="1" w:tplc="FFFFFFFF" w:tentative="1">
      <w:start w:val="1"/>
      <w:numFmt w:val="bullet"/>
      <w:lvlText w:val="o"/>
      <w:lvlJc w:val="left"/>
      <w:pPr>
        <w:tabs>
          <w:tab w:val="num" w:pos="1540"/>
        </w:tabs>
        <w:ind w:left="1540" w:hanging="360"/>
      </w:pPr>
      <w:rPr>
        <w:rFonts w:ascii="Courier New" w:hAnsi="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14" w15:restartNumberingAfterBreak="0">
    <w:nsid w:val="1FE4197C"/>
    <w:multiLevelType w:val="hybridMultilevel"/>
    <w:tmpl w:val="B470DC1A"/>
    <w:lvl w:ilvl="0" w:tplc="04090001">
      <w:start w:val="1"/>
      <w:numFmt w:val="bullet"/>
      <w:lvlText w:val=""/>
      <w:lvlJc w:val="left"/>
      <w:pPr>
        <w:tabs>
          <w:tab w:val="num" w:pos="4080"/>
        </w:tabs>
        <w:ind w:left="4080" w:hanging="360"/>
      </w:pPr>
      <w:rPr>
        <w:rFonts w:ascii="Symbol" w:hAnsi="Symbol" w:hint="default"/>
      </w:rPr>
    </w:lvl>
    <w:lvl w:ilvl="1" w:tplc="04090003" w:tentative="1">
      <w:start w:val="1"/>
      <w:numFmt w:val="bullet"/>
      <w:lvlText w:val="o"/>
      <w:lvlJc w:val="left"/>
      <w:pPr>
        <w:tabs>
          <w:tab w:val="num" w:pos="4800"/>
        </w:tabs>
        <w:ind w:left="4800" w:hanging="360"/>
      </w:pPr>
      <w:rPr>
        <w:rFonts w:ascii="Courier New" w:hAnsi="Courier New" w:hint="default"/>
      </w:rPr>
    </w:lvl>
    <w:lvl w:ilvl="2" w:tplc="04090005" w:tentative="1">
      <w:start w:val="1"/>
      <w:numFmt w:val="bullet"/>
      <w:lvlText w:val=""/>
      <w:lvlJc w:val="left"/>
      <w:pPr>
        <w:tabs>
          <w:tab w:val="num" w:pos="5520"/>
        </w:tabs>
        <w:ind w:left="5520" w:hanging="360"/>
      </w:pPr>
      <w:rPr>
        <w:rFonts w:ascii="Wingdings" w:hAnsi="Wingdings" w:hint="default"/>
      </w:rPr>
    </w:lvl>
    <w:lvl w:ilvl="3" w:tplc="04090001" w:tentative="1">
      <w:start w:val="1"/>
      <w:numFmt w:val="bullet"/>
      <w:lvlText w:val=""/>
      <w:lvlJc w:val="left"/>
      <w:pPr>
        <w:tabs>
          <w:tab w:val="num" w:pos="6240"/>
        </w:tabs>
        <w:ind w:left="6240" w:hanging="360"/>
      </w:pPr>
      <w:rPr>
        <w:rFonts w:ascii="Symbol" w:hAnsi="Symbol" w:hint="default"/>
      </w:rPr>
    </w:lvl>
    <w:lvl w:ilvl="4" w:tplc="04090003" w:tentative="1">
      <w:start w:val="1"/>
      <w:numFmt w:val="bullet"/>
      <w:lvlText w:val="o"/>
      <w:lvlJc w:val="left"/>
      <w:pPr>
        <w:tabs>
          <w:tab w:val="num" w:pos="6960"/>
        </w:tabs>
        <w:ind w:left="6960" w:hanging="360"/>
      </w:pPr>
      <w:rPr>
        <w:rFonts w:ascii="Courier New" w:hAnsi="Courier New" w:hint="default"/>
      </w:rPr>
    </w:lvl>
    <w:lvl w:ilvl="5" w:tplc="04090005" w:tentative="1">
      <w:start w:val="1"/>
      <w:numFmt w:val="bullet"/>
      <w:lvlText w:val=""/>
      <w:lvlJc w:val="left"/>
      <w:pPr>
        <w:tabs>
          <w:tab w:val="num" w:pos="7680"/>
        </w:tabs>
        <w:ind w:left="7680" w:hanging="360"/>
      </w:pPr>
      <w:rPr>
        <w:rFonts w:ascii="Wingdings" w:hAnsi="Wingdings" w:hint="default"/>
      </w:rPr>
    </w:lvl>
    <w:lvl w:ilvl="6" w:tplc="04090001" w:tentative="1">
      <w:start w:val="1"/>
      <w:numFmt w:val="bullet"/>
      <w:lvlText w:val=""/>
      <w:lvlJc w:val="left"/>
      <w:pPr>
        <w:tabs>
          <w:tab w:val="num" w:pos="8400"/>
        </w:tabs>
        <w:ind w:left="8400" w:hanging="360"/>
      </w:pPr>
      <w:rPr>
        <w:rFonts w:ascii="Symbol" w:hAnsi="Symbol" w:hint="default"/>
      </w:rPr>
    </w:lvl>
    <w:lvl w:ilvl="7" w:tplc="04090003" w:tentative="1">
      <w:start w:val="1"/>
      <w:numFmt w:val="bullet"/>
      <w:lvlText w:val="o"/>
      <w:lvlJc w:val="left"/>
      <w:pPr>
        <w:tabs>
          <w:tab w:val="num" w:pos="9120"/>
        </w:tabs>
        <w:ind w:left="9120" w:hanging="360"/>
      </w:pPr>
      <w:rPr>
        <w:rFonts w:ascii="Courier New" w:hAnsi="Courier New" w:hint="default"/>
      </w:rPr>
    </w:lvl>
    <w:lvl w:ilvl="8" w:tplc="04090005" w:tentative="1">
      <w:start w:val="1"/>
      <w:numFmt w:val="bullet"/>
      <w:lvlText w:val=""/>
      <w:lvlJc w:val="left"/>
      <w:pPr>
        <w:tabs>
          <w:tab w:val="num" w:pos="9840"/>
        </w:tabs>
        <w:ind w:left="9840" w:hanging="360"/>
      </w:pPr>
      <w:rPr>
        <w:rFonts w:ascii="Wingdings" w:hAnsi="Wingdings" w:hint="default"/>
      </w:rPr>
    </w:lvl>
  </w:abstractNum>
  <w:abstractNum w:abstractNumId="15" w15:restartNumberingAfterBreak="0">
    <w:nsid w:val="23A34B52"/>
    <w:multiLevelType w:val="multilevel"/>
    <w:tmpl w:val="1906716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2B22DA"/>
    <w:multiLevelType w:val="hybridMultilevel"/>
    <w:tmpl w:val="715C624A"/>
    <w:lvl w:ilvl="0" w:tplc="B5202108">
      <w:start w:val="1"/>
      <w:numFmt w:val="bullet"/>
      <w:pStyle w:val="List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E50E8"/>
    <w:multiLevelType w:val="hybridMultilevel"/>
    <w:tmpl w:val="4B80DB1C"/>
    <w:lvl w:ilvl="0" w:tplc="4DCCEFD8">
      <w:start w:val="1"/>
      <w:numFmt w:val="decimal"/>
      <w:pStyle w:val="HeaderFir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0D7AAD"/>
    <w:multiLevelType w:val="singleLevel"/>
    <w:tmpl w:val="DF80D8D8"/>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71424F00"/>
    <w:multiLevelType w:val="hybridMultilevel"/>
    <w:tmpl w:val="2D86B3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11"/>
  </w:num>
  <w:num w:numId="4">
    <w:abstractNumId w:val="13"/>
  </w:num>
  <w:num w:numId="5">
    <w:abstractNumId w:val="14"/>
  </w:num>
  <w:num w:numId="6">
    <w:abstractNumId w:val="9"/>
  </w:num>
  <w:num w:numId="7">
    <w:abstractNumId w:val="1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7"/>
  </w:num>
  <w:num w:numId="19">
    <w:abstractNumId w:val="10"/>
  </w:num>
  <w:num w:numId="20">
    <w:abstractNumId w:val="12"/>
  </w:num>
  <w:num w:numId="21">
    <w:abstractNumId w:val="16"/>
  </w:num>
  <w:num w:numId="22">
    <w:abstractNumId w:val="8"/>
  </w:num>
  <w:num w:numId="23">
    <w:abstractNumId w:val="8"/>
  </w:num>
  <w:num w:numId="24">
    <w:abstractNumId w:val="16"/>
  </w:num>
  <w:num w:numId="25">
    <w:abstractNumId w:val="8"/>
  </w:num>
  <w:num w:numId="26">
    <w:abstractNumId w:val="16"/>
  </w:num>
  <w:num w:numId="27">
    <w:abstractNumId w:val="8"/>
  </w:num>
  <w:num w:numId="28">
    <w:abstractNumId w:val="8"/>
  </w:num>
  <w:num w:numId="29">
    <w:abstractNumId w:val="16"/>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A2"/>
    <w:rsid w:val="00001478"/>
    <w:rsid w:val="0002233D"/>
    <w:rsid w:val="0002441E"/>
    <w:rsid w:val="00033B0D"/>
    <w:rsid w:val="0003408E"/>
    <w:rsid w:val="000362D9"/>
    <w:rsid w:val="00043850"/>
    <w:rsid w:val="00057221"/>
    <w:rsid w:val="00061769"/>
    <w:rsid w:val="00063F24"/>
    <w:rsid w:val="00082EC7"/>
    <w:rsid w:val="00085BFD"/>
    <w:rsid w:val="00086D43"/>
    <w:rsid w:val="000923A6"/>
    <w:rsid w:val="00092D87"/>
    <w:rsid w:val="000A1525"/>
    <w:rsid w:val="000A37D6"/>
    <w:rsid w:val="000C1819"/>
    <w:rsid w:val="000C3E81"/>
    <w:rsid w:val="000C59CB"/>
    <w:rsid w:val="000D2F36"/>
    <w:rsid w:val="000D6D45"/>
    <w:rsid w:val="000D73E5"/>
    <w:rsid w:val="000D7758"/>
    <w:rsid w:val="001021D1"/>
    <w:rsid w:val="00103B0E"/>
    <w:rsid w:val="00105033"/>
    <w:rsid w:val="001106FE"/>
    <w:rsid w:val="00114140"/>
    <w:rsid w:val="00122808"/>
    <w:rsid w:val="001251C2"/>
    <w:rsid w:val="0013635B"/>
    <w:rsid w:val="00146265"/>
    <w:rsid w:val="00161864"/>
    <w:rsid w:val="00162621"/>
    <w:rsid w:val="00163F1A"/>
    <w:rsid w:val="001640FA"/>
    <w:rsid w:val="0017334C"/>
    <w:rsid w:val="001742D9"/>
    <w:rsid w:val="00175B5C"/>
    <w:rsid w:val="00184505"/>
    <w:rsid w:val="0019508F"/>
    <w:rsid w:val="00196B2F"/>
    <w:rsid w:val="001A2CDB"/>
    <w:rsid w:val="001C0688"/>
    <w:rsid w:val="001C15EB"/>
    <w:rsid w:val="001C20F1"/>
    <w:rsid w:val="001C274F"/>
    <w:rsid w:val="001C43E9"/>
    <w:rsid w:val="001C77D1"/>
    <w:rsid w:val="001D3DDA"/>
    <w:rsid w:val="001D4A35"/>
    <w:rsid w:val="001E2E6D"/>
    <w:rsid w:val="001E4827"/>
    <w:rsid w:val="001F094D"/>
    <w:rsid w:val="001F3360"/>
    <w:rsid w:val="001F54BC"/>
    <w:rsid w:val="00202A23"/>
    <w:rsid w:val="00203704"/>
    <w:rsid w:val="002044AC"/>
    <w:rsid w:val="00211A8A"/>
    <w:rsid w:val="00215B9D"/>
    <w:rsid w:val="00225306"/>
    <w:rsid w:val="00230C82"/>
    <w:rsid w:val="00235BAA"/>
    <w:rsid w:val="002736C3"/>
    <w:rsid w:val="00296492"/>
    <w:rsid w:val="00296E44"/>
    <w:rsid w:val="002A5AFB"/>
    <w:rsid w:val="002B18C5"/>
    <w:rsid w:val="002D6BD7"/>
    <w:rsid w:val="002E5EFE"/>
    <w:rsid w:val="002F2399"/>
    <w:rsid w:val="002F673F"/>
    <w:rsid w:val="00311E26"/>
    <w:rsid w:val="00324832"/>
    <w:rsid w:val="00325B28"/>
    <w:rsid w:val="00327B08"/>
    <w:rsid w:val="00327C25"/>
    <w:rsid w:val="00336EE5"/>
    <w:rsid w:val="00336F93"/>
    <w:rsid w:val="00351643"/>
    <w:rsid w:val="0036179D"/>
    <w:rsid w:val="00361A9F"/>
    <w:rsid w:val="0036636F"/>
    <w:rsid w:val="00366F46"/>
    <w:rsid w:val="00372683"/>
    <w:rsid w:val="00373096"/>
    <w:rsid w:val="003775C5"/>
    <w:rsid w:val="00383667"/>
    <w:rsid w:val="00383F62"/>
    <w:rsid w:val="003847D4"/>
    <w:rsid w:val="00387EFE"/>
    <w:rsid w:val="00396038"/>
    <w:rsid w:val="003A04C6"/>
    <w:rsid w:val="003A59D3"/>
    <w:rsid w:val="003A7F00"/>
    <w:rsid w:val="003B15A8"/>
    <w:rsid w:val="003B537F"/>
    <w:rsid w:val="003C2378"/>
    <w:rsid w:val="003C2D0F"/>
    <w:rsid w:val="003D2CB0"/>
    <w:rsid w:val="003E276E"/>
    <w:rsid w:val="003E5B3A"/>
    <w:rsid w:val="003F1658"/>
    <w:rsid w:val="003F60F0"/>
    <w:rsid w:val="00400E79"/>
    <w:rsid w:val="00402207"/>
    <w:rsid w:val="00403E17"/>
    <w:rsid w:val="0040554C"/>
    <w:rsid w:val="00411007"/>
    <w:rsid w:val="00415BBC"/>
    <w:rsid w:val="004208EA"/>
    <w:rsid w:val="00430A09"/>
    <w:rsid w:val="0044215C"/>
    <w:rsid w:val="004438A8"/>
    <w:rsid w:val="00452416"/>
    <w:rsid w:val="00452BBF"/>
    <w:rsid w:val="004673AA"/>
    <w:rsid w:val="004715A5"/>
    <w:rsid w:val="00474597"/>
    <w:rsid w:val="004800B1"/>
    <w:rsid w:val="004851E4"/>
    <w:rsid w:val="00490600"/>
    <w:rsid w:val="00493CFF"/>
    <w:rsid w:val="004A27E3"/>
    <w:rsid w:val="004A313C"/>
    <w:rsid w:val="004A582A"/>
    <w:rsid w:val="004B1FB3"/>
    <w:rsid w:val="004B458C"/>
    <w:rsid w:val="004C53F0"/>
    <w:rsid w:val="004D4D2A"/>
    <w:rsid w:val="004D657F"/>
    <w:rsid w:val="004E0462"/>
    <w:rsid w:val="004E5CD8"/>
    <w:rsid w:val="004E5E36"/>
    <w:rsid w:val="004F10BB"/>
    <w:rsid w:val="004F1BE6"/>
    <w:rsid w:val="004F4ED1"/>
    <w:rsid w:val="00506EF7"/>
    <w:rsid w:val="00512E0A"/>
    <w:rsid w:val="00513EF5"/>
    <w:rsid w:val="00514401"/>
    <w:rsid w:val="005357D7"/>
    <w:rsid w:val="00545C1D"/>
    <w:rsid w:val="0056146E"/>
    <w:rsid w:val="00564D58"/>
    <w:rsid w:val="005742B2"/>
    <w:rsid w:val="005747EF"/>
    <w:rsid w:val="00577D23"/>
    <w:rsid w:val="005810FB"/>
    <w:rsid w:val="0058267A"/>
    <w:rsid w:val="00584386"/>
    <w:rsid w:val="00586B1E"/>
    <w:rsid w:val="00593940"/>
    <w:rsid w:val="005C0CA9"/>
    <w:rsid w:val="005C17F6"/>
    <w:rsid w:val="005C27FE"/>
    <w:rsid w:val="005D23E9"/>
    <w:rsid w:val="005E09B2"/>
    <w:rsid w:val="005E4B6C"/>
    <w:rsid w:val="005F3F3A"/>
    <w:rsid w:val="005F4CB6"/>
    <w:rsid w:val="005F705B"/>
    <w:rsid w:val="00600037"/>
    <w:rsid w:val="006033AA"/>
    <w:rsid w:val="006063E0"/>
    <w:rsid w:val="00606B58"/>
    <w:rsid w:val="0060774E"/>
    <w:rsid w:val="00611574"/>
    <w:rsid w:val="0062592F"/>
    <w:rsid w:val="00630114"/>
    <w:rsid w:val="006339D9"/>
    <w:rsid w:val="0064112D"/>
    <w:rsid w:val="00643922"/>
    <w:rsid w:val="006505B7"/>
    <w:rsid w:val="00652635"/>
    <w:rsid w:val="006564C4"/>
    <w:rsid w:val="0066080C"/>
    <w:rsid w:val="00661916"/>
    <w:rsid w:val="0066493A"/>
    <w:rsid w:val="006663A4"/>
    <w:rsid w:val="00670E25"/>
    <w:rsid w:val="00684918"/>
    <w:rsid w:val="00693C4C"/>
    <w:rsid w:val="006A0AD4"/>
    <w:rsid w:val="006A2248"/>
    <w:rsid w:val="006A5AEB"/>
    <w:rsid w:val="006C436D"/>
    <w:rsid w:val="006C541B"/>
    <w:rsid w:val="006C7C57"/>
    <w:rsid w:val="006D1BDA"/>
    <w:rsid w:val="006E25FB"/>
    <w:rsid w:val="006F10ED"/>
    <w:rsid w:val="006F5BD4"/>
    <w:rsid w:val="006F5D9D"/>
    <w:rsid w:val="007029A1"/>
    <w:rsid w:val="00707884"/>
    <w:rsid w:val="0071161D"/>
    <w:rsid w:val="00724D56"/>
    <w:rsid w:val="00725FDD"/>
    <w:rsid w:val="00730F56"/>
    <w:rsid w:val="0073297E"/>
    <w:rsid w:val="00737E0E"/>
    <w:rsid w:val="007452D7"/>
    <w:rsid w:val="00747430"/>
    <w:rsid w:val="00750FB0"/>
    <w:rsid w:val="00761304"/>
    <w:rsid w:val="00762AA2"/>
    <w:rsid w:val="00780293"/>
    <w:rsid w:val="00780CAC"/>
    <w:rsid w:val="007821E0"/>
    <w:rsid w:val="007853A8"/>
    <w:rsid w:val="007934B6"/>
    <w:rsid w:val="00794659"/>
    <w:rsid w:val="00794F4E"/>
    <w:rsid w:val="007A2C4A"/>
    <w:rsid w:val="007B0EC7"/>
    <w:rsid w:val="007B4308"/>
    <w:rsid w:val="007B5553"/>
    <w:rsid w:val="007B5ED1"/>
    <w:rsid w:val="007C24C0"/>
    <w:rsid w:val="007C4979"/>
    <w:rsid w:val="007C703D"/>
    <w:rsid w:val="007D2764"/>
    <w:rsid w:val="007E00FD"/>
    <w:rsid w:val="007E12A2"/>
    <w:rsid w:val="007F1DA2"/>
    <w:rsid w:val="007F411F"/>
    <w:rsid w:val="007F5104"/>
    <w:rsid w:val="0080658D"/>
    <w:rsid w:val="00810717"/>
    <w:rsid w:val="0081221D"/>
    <w:rsid w:val="008241A4"/>
    <w:rsid w:val="00832ECB"/>
    <w:rsid w:val="008652BC"/>
    <w:rsid w:val="00866FBB"/>
    <w:rsid w:val="00872B15"/>
    <w:rsid w:val="0088321E"/>
    <w:rsid w:val="0088511F"/>
    <w:rsid w:val="0089033D"/>
    <w:rsid w:val="008A3D35"/>
    <w:rsid w:val="008A680B"/>
    <w:rsid w:val="008B1DA4"/>
    <w:rsid w:val="008B26EC"/>
    <w:rsid w:val="008B50BD"/>
    <w:rsid w:val="008C0C1D"/>
    <w:rsid w:val="008C1583"/>
    <w:rsid w:val="008C5B8B"/>
    <w:rsid w:val="008D0429"/>
    <w:rsid w:val="008D27A3"/>
    <w:rsid w:val="008E6F41"/>
    <w:rsid w:val="00901199"/>
    <w:rsid w:val="00907184"/>
    <w:rsid w:val="00907A3D"/>
    <w:rsid w:val="009105A9"/>
    <w:rsid w:val="00913398"/>
    <w:rsid w:val="00922EEF"/>
    <w:rsid w:val="009311FF"/>
    <w:rsid w:val="0093194D"/>
    <w:rsid w:val="00934D26"/>
    <w:rsid w:val="00936E1F"/>
    <w:rsid w:val="00937C9E"/>
    <w:rsid w:val="00951FC8"/>
    <w:rsid w:val="00952A51"/>
    <w:rsid w:val="009540D9"/>
    <w:rsid w:val="00962AE4"/>
    <w:rsid w:val="009678C0"/>
    <w:rsid w:val="00970E79"/>
    <w:rsid w:val="009715A3"/>
    <w:rsid w:val="009725FB"/>
    <w:rsid w:val="009872A1"/>
    <w:rsid w:val="00987D81"/>
    <w:rsid w:val="00994D91"/>
    <w:rsid w:val="009C58BA"/>
    <w:rsid w:val="009D19B2"/>
    <w:rsid w:val="009D5D63"/>
    <w:rsid w:val="009E1DCA"/>
    <w:rsid w:val="009E5AC8"/>
    <w:rsid w:val="009E6F9F"/>
    <w:rsid w:val="009F422D"/>
    <w:rsid w:val="00A06329"/>
    <w:rsid w:val="00A11137"/>
    <w:rsid w:val="00A1196A"/>
    <w:rsid w:val="00A15696"/>
    <w:rsid w:val="00A20F30"/>
    <w:rsid w:val="00A323D0"/>
    <w:rsid w:val="00A37DC0"/>
    <w:rsid w:val="00A44263"/>
    <w:rsid w:val="00A46B88"/>
    <w:rsid w:val="00A500EF"/>
    <w:rsid w:val="00A57ADA"/>
    <w:rsid w:val="00A61753"/>
    <w:rsid w:val="00A64422"/>
    <w:rsid w:val="00A727B2"/>
    <w:rsid w:val="00A72DCC"/>
    <w:rsid w:val="00A75B29"/>
    <w:rsid w:val="00A806A8"/>
    <w:rsid w:val="00A8075F"/>
    <w:rsid w:val="00A83599"/>
    <w:rsid w:val="00A8448D"/>
    <w:rsid w:val="00A85179"/>
    <w:rsid w:val="00A86E64"/>
    <w:rsid w:val="00A94CC8"/>
    <w:rsid w:val="00A9512F"/>
    <w:rsid w:val="00A95DFF"/>
    <w:rsid w:val="00AA7B7C"/>
    <w:rsid w:val="00AB1B5C"/>
    <w:rsid w:val="00AB2F09"/>
    <w:rsid w:val="00AB5DAA"/>
    <w:rsid w:val="00AC30C6"/>
    <w:rsid w:val="00AC6624"/>
    <w:rsid w:val="00AC6EBC"/>
    <w:rsid w:val="00AD2E6D"/>
    <w:rsid w:val="00AD3AA1"/>
    <w:rsid w:val="00AD7165"/>
    <w:rsid w:val="00AE05CA"/>
    <w:rsid w:val="00AF0078"/>
    <w:rsid w:val="00AF7148"/>
    <w:rsid w:val="00AF7D6B"/>
    <w:rsid w:val="00B00162"/>
    <w:rsid w:val="00B01661"/>
    <w:rsid w:val="00B03575"/>
    <w:rsid w:val="00B0443D"/>
    <w:rsid w:val="00B0555C"/>
    <w:rsid w:val="00B06C37"/>
    <w:rsid w:val="00B255BA"/>
    <w:rsid w:val="00B33235"/>
    <w:rsid w:val="00B44032"/>
    <w:rsid w:val="00B512BE"/>
    <w:rsid w:val="00B52217"/>
    <w:rsid w:val="00B5719B"/>
    <w:rsid w:val="00B575CE"/>
    <w:rsid w:val="00B67900"/>
    <w:rsid w:val="00B765DA"/>
    <w:rsid w:val="00B7666A"/>
    <w:rsid w:val="00B8085E"/>
    <w:rsid w:val="00B82243"/>
    <w:rsid w:val="00B90C24"/>
    <w:rsid w:val="00B934FC"/>
    <w:rsid w:val="00B97584"/>
    <w:rsid w:val="00BA1400"/>
    <w:rsid w:val="00BA4109"/>
    <w:rsid w:val="00BA5ACB"/>
    <w:rsid w:val="00BA5B00"/>
    <w:rsid w:val="00BC285B"/>
    <w:rsid w:val="00BC3908"/>
    <w:rsid w:val="00BC4191"/>
    <w:rsid w:val="00BC7B8A"/>
    <w:rsid w:val="00BD7850"/>
    <w:rsid w:val="00BF73F8"/>
    <w:rsid w:val="00C11F0F"/>
    <w:rsid w:val="00C14CB4"/>
    <w:rsid w:val="00C15FBB"/>
    <w:rsid w:val="00C1607A"/>
    <w:rsid w:val="00C16494"/>
    <w:rsid w:val="00C236BD"/>
    <w:rsid w:val="00C30E88"/>
    <w:rsid w:val="00C358C1"/>
    <w:rsid w:val="00C43D23"/>
    <w:rsid w:val="00C51F72"/>
    <w:rsid w:val="00C53EA8"/>
    <w:rsid w:val="00C56836"/>
    <w:rsid w:val="00C634B6"/>
    <w:rsid w:val="00C77ADC"/>
    <w:rsid w:val="00C81583"/>
    <w:rsid w:val="00CA0801"/>
    <w:rsid w:val="00CA41DF"/>
    <w:rsid w:val="00CA5A02"/>
    <w:rsid w:val="00CD4B06"/>
    <w:rsid w:val="00CD7351"/>
    <w:rsid w:val="00CE3F72"/>
    <w:rsid w:val="00CF20C2"/>
    <w:rsid w:val="00CF6793"/>
    <w:rsid w:val="00CF7D76"/>
    <w:rsid w:val="00D20876"/>
    <w:rsid w:val="00D22F66"/>
    <w:rsid w:val="00D234B7"/>
    <w:rsid w:val="00D3550C"/>
    <w:rsid w:val="00D4399F"/>
    <w:rsid w:val="00D45370"/>
    <w:rsid w:val="00D5236B"/>
    <w:rsid w:val="00D643F9"/>
    <w:rsid w:val="00D65C2E"/>
    <w:rsid w:val="00D73D74"/>
    <w:rsid w:val="00D8301E"/>
    <w:rsid w:val="00D85A51"/>
    <w:rsid w:val="00D907C9"/>
    <w:rsid w:val="00D93375"/>
    <w:rsid w:val="00D935E3"/>
    <w:rsid w:val="00DA1E42"/>
    <w:rsid w:val="00DA4AC1"/>
    <w:rsid w:val="00DB6E56"/>
    <w:rsid w:val="00DD456D"/>
    <w:rsid w:val="00DF39DF"/>
    <w:rsid w:val="00DF7850"/>
    <w:rsid w:val="00E02885"/>
    <w:rsid w:val="00E36F2C"/>
    <w:rsid w:val="00E42CC4"/>
    <w:rsid w:val="00E50D92"/>
    <w:rsid w:val="00E61184"/>
    <w:rsid w:val="00E71422"/>
    <w:rsid w:val="00E73116"/>
    <w:rsid w:val="00E80FCB"/>
    <w:rsid w:val="00E877C1"/>
    <w:rsid w:val="00E938E6"/>
    <w:rsid w:val="00EB244C"/>
    <w:rsid w:val="00EC1C85"/>
    <w:rsid w:val="00ED075F"/>
    <w:rsid w:val="00EE5D45"/>
    <w:rsid w:val="00EF28C2"/>
    <w:rsid w:val="00F010D5"/>
    <w:rsid w:val="00F039E5"/>
    <w:rsid w:val="00F1784C"/>
    <w:rsid w:val="00F41306"/>
    <w:rsid w:val="00F502EE"/>
    <w:rsid w:val="00F55590"/>
    <w:rsid w:val="00F55F32"/>
    <w:rsid w:val="00F5646C"/>
    <w:rsid w:val="00F6779A"/>
    <w:rsid w:val="00F76625"/>
    <w:rsid w:val="00F855EB"/>
    <w:rsid w:val="00FA3592"/>
    <w:rsid w:val="00FA3E14"/>
    <w:rsid w:val="00FA510D"/>
    <w:rsid w:val="00FA74B5"/>
    <w:rsid w:val="00FB048A"/>
    <w:rsid w:val="00FB17A2"/>
    <w:rsid w:val="00FB5765"/>
    <w:rsid w:val="00FC2A64"/>
    <w:rsid w:val="00FC3BB4"/>
    <w:rsid w:val="00FC417C"/>
    <w:rsid w:val="00FC50D7"/>
    <w:rsid w:val="00FC5A43"/>
    <w:rsid w:val="00FC637B"/>
    <w:rsid w:val="00FD107D"/>
    <w:rsid w:val="00FD6975"/>
    <w:rsid w:val="00FD7217"/>
    <w:rsid w:val="00FE1095"/>
    <w:rsid w:val="00FE61F2"/>
    <w:rsid w:val="00FF1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3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D3AA1"/>
    <w:rPr>
      <w:rFonts w:ascii="Verdana" w:hAnsi="Verdana"/>
      <w:sz w:val="18"/>
      <w:szCs w:val="24"/>
      <w:lang w:eastAsia="en-US"/>
    </w:rPr>
  </w:style>
  <w:style w:type="paragraph" w:styleId="Heading1">
    <w:name w:val="heading 1"/>
    <w:basedOn w:val="Normal"/>
    <w:next w:val="BodyText"/>
    <w:qFormat/>
    <w:rsid w:val="00693C4C"/>
    <w:pPr>
      <w:keepNext/>
      <w:spacing w:before="100" w:after="100"/>
      <w:jc w:val="both"/>
      <w:outlineLvl w:val="0"/>
    </w:pPr>
    <w:rPr>
      <w:b/>
      <w:iCs/>
      <w:szCs w:val="20"/>
    </w:rPr>
  </w:style>
  <w:style w:type="paragraph" w:styleId="Heading2">
    <w:name w:val="heading 2"/>
    <w:basedOn w:val="Normal"/>
    <w:next w:val="BodyText"/>
    <w:link w:val="Heading2Char"/>
    <w:qFormat/>
    <w:rsid w:val="00693C4C"/>
    <w:pPr>
      <w:keepNext/>
      <w:spacing w:before="100" w:after="100"/>
      <w:jc w:val="both"/>
      <w:outlineLvl w:val="1"/>
    </w:pPr>
    <w:rPr>
      <w:b/>
      <w:i/>
      <w:iCs/>
      <w:szCs w:val="20"/>
    </w:rPr>
  </w:style>
  <w:style w:type="paragraph" w:styleId="Heading3">
    <w:name w:val="heading 3"/>
    <w:basedOn w:val="Normal"/>
    <w:next w:val="BodyText"/>
    <w:link w:val="Heading3Char"/>
    <w:qFormat/>
    <w:rsid w:val="008D0429"/>
    <w:pPr>
      <w:spacing w:before="100" w:after="100"/>
      <w:jc w:val="both"/>
      <w:outlineLvl w:val="2"/>
    </w:pPr>
    <w:rPr>
      <w:rFonts w:cs="Arial"/>
      <w:bCs/>
      <w:i/>
      <w:szCs w:val="26"/>
      <w:u w:val="single"/>
      <w:lang w:eastAsia="en-AU"/>
    </w:rPr>
  </w:style>
  <w:style w:type="paragraph" w:styleId="Heading4">
    <w:name w:val="heading 4"/>
    <w:basedOn w:val="Normal"/>
    <w:next w:val="Normal"/>
    <w:rsid w:val="00B01661"/>
    <w:pPr>
      <w:keepNext/>
      <w:outlineLvl w:val="3"/>
    </w:pPr>
    <w:rPr>
      <w:b/>
      <w:bCs/>
      <w:sz w:val="16"/>
    </w:rPr>
  </w:style>
  <w:style w:type="paragraph" w:styleId="Heading5">
    <w:name w:val="heading 5"/>
    <w:basedOn w:val="Normal"/>
    <w:next w:val="Normal"/>
    <w:rsid w:val="00B01661"/>
    <w:pPr>
      <w:spacing w:before="240" w:after="60"/>
      <w:outlineLvl w:val="4"/>
    </w:pPr>
    <w:rPr>
      <w:rFonts w:ascii="Times New Roman" w:hAnsi="Times New Roman"/>
      <w:b/>
      <w:bCs/>
      <w:i/>
      <w:iCs/>
      <w:sz w:val="26"/>
      <w:szCs w:val="26"/>
    </w:rPr>
  </w:style>
  <w:style w:type="paragraph" w:styleId="Heading6">
    <w:name w:val="heading 6"/>
    <w:basedOn w:val="Normal"/>
    <w:next w:val="Normal"/>
    <w:rsid w:val="00B01661"/>
    <w:pPr>
      <w:spacing w:before="240" w:after="60"/>
      <w:outlineLvl w:val="5"/>
    </w:pPr>
    <w:rPr>
      <w:rFonts w:ascii="Arial" w:hAnsi="Arial"/>
      <w:i/>
      <w:szCs w:val="20"/>
      <w:lang w:val="en-US"/>
    </w:rPr>
  </w:style>
  <w:style w:type="paragraph" w:styleId="Heading7">
    <w:name w:val="heading 7"/>
    <w:basedOn w:val="Normal"/>
    <w:next w:val="Normal"/>
    <w:rsid w:val="00B01661"/>
    <w:pPr>
      <w:spacing w:before="240" w:after="60"/>
      <w:outlineLvl w:val="6"/>
    </w:pPr>
    <w:rPr>
      <w:rFonts w:ascii="Arial" w:hAnsi="Arial"/>
      <w:sz w:val="20"/>
      <w:szCs w:val="20"/>
      <w:lang w:val="en-US"/>
    </w:rPr>
  </w:style>
  <w:style w:type="paragraph" w:styleId="Heading8">
    <w:name w:val="heading 8"/>
    <w:basedOn w:val="Normal"/>
    <w:next w:val="Normal"/>
    <w:rsid w:val="00B01661"/>
    <w:pPr>
      <w:spacing w:before="240" w:after="60"/>
      <w:outlineLvl w:val="7"/>
    </w:pPr>
    <w:rPr>
      <w:rFonts w:ascii="Arial" w:hAnsi="Arial"/>
      <w:i/>
      <w:sz w:val="20"/>
      <w:szCs w:val="20"/>
      <w:lang w:val="en-US"/>
    </w:rPr>
  </w:style>
  <w:style w:type="paragraph" w:styleId="Heading9">
    <w:name w:val="heading 9"/>
    <w:basedOn w:val="Normal"/>
    <w:next w:val="Normal"/>
    <w:rsid w:val="00B01661"/>
    <w:pPr>
      <w:spacing w:before="240" w:after="60"/>
      <w:outlineLvl w:val="8"/>
    </w:pPr>
    <w:rPr>
      <w:rFonts w:ascii="Arial" w:hAnsi="Arial"/>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34B6"/>
    <w:pPr>
      <w:pBdr>
        <w:bottom w:val="single" w:sz="4" w:space="1" w:color="auto"/>
      </w:pBdr>
      <w:tabs>
        <w:tab w:val="center" w:pos="4394"/>
        <w:tab w:val="right" w:pos="8789"/>
      </w:tabs>
    </w:pPr>
    <w:rPr>
      <w:sz w:val="16"/>
    </w:rPr>
  </w:style>
  <w:style w:type="paragraph" w:styleId="Footer">
    <w:name w:val="footer"/>
    <w:basedOn w:val="Normal"/>
    <w:link w:val="FooterChar"/>
    <w:uiPriority w:val="99"/>
    <w:rsid w:val="007934B6"/>
    <w:pPr>
      <w:tabs>
        <w:tab w:val="center" w:pos="4394"/>
        <w:tab w:val="right" w:pos="8789"/>
      </w:tabs>
    </w:pPr>
    <w:rPr>
      <w:sz w:val="16"/>
    </w:rPr>
  </w:style>
  <w:style w:type="character" w:styleId="PageNumber">
    <w:name w:val="page number"/>
    <w:basedOn w:val="DefaultParagraphFont"/>
    <w:rsid w:val="00B01661"/>
  </w:style>
  <w:style w:type="character" w:styleId="Hyperlink">
    <w:name w:val="Hyperlink"/>
    <w:basedOn w:val="DefaultParagraphFont"/>
    <w:rsid w:val="001A2CDB"/>
    <w:rPr>
      <w:rFonts w:ascii="Verdana" w:hAnsi="Verdana"/>
      <w:color w:val="0000FF"/>
      <w:sz w:val="16"/>
      <w:u w:val="single"/>
    </w:rPr>
  </w:style>
  <w:style w:type="paragraph" w:styleId="BodyText">
    <w:name w:val="Body Text"/>
    <w:basedOn w:val="Normal"/>
    <w:link w:val="BodyTextChar"/>
    <w:qFormat/>
    <w:rsid w:val="00FB5765"/>
    <w:pPr>
      <w:spacing w:before="100" w:after="100"/>
      <w:jc w:val="both"/>
    </w:pPr>
    <w:rPr>
      <w:bCs/>
      <w:szCs w:val="20"/>
    </w:rPr>
  </w:style>
  <w:style w:type="paragraph" w:styleId="FootnoteText">
    <w:name w:val="footnote text"/>
    <w:basedOn w:val="Normal"/>
    <w:semiHidden/>
    <w:rsid w:val="00B01661"/>
    <w:rPr>
      <w:rFonts w:ascii="Times New Roman" w:hAnsi="Times New Roman"/>
      <w:sz w:val="20"/>
      <w:szCs w:val="20"/>
    </w:rPr>
  </w:style>
  <w:style w:type="character" w:styleId="FootnoteReference">
    <w:name w:val="footnote reference"/>
    <w:basedOn w:val="DefaultParagraphFont"/>
    <w:semiHidden/>
    <w:rsid w:val="00B01661"/>
    <w:rPr>
      <w:vertAlign w:val="superscript"/>
    </w:rPr>
  </w:style>
  <w:style w:type="paragraph" w:styleId="BlockText">
    <w:name w:val="Block Text"/>
    <w:basedOn w:val="BodyText"/>
    <w:qFormat/>
    <w:rsid w:val="00C15FBB"/>
    <w:pPr>
      <w:ind w:left="567" w:right="567"/>
    </w:pPr>
    <w:rPr>
      <w:rFonts w:cs="Arial"/>
    </w:rPr>
  </w:style>
  <w:style w:type="paragraph" w:customStyle="1" w:styleId="Reference">
    <w:name w:val="Reference"/>
    <w:basedOn w:val="Normal"/>
    <w:qFormat/>
    <w:rsid w:val="00A20F30"/>
    <w:pPr>
      <w:spacing w:before="100" w:after="100"/>
      <w:ind w:left="284" w:hanging="284"/>
      <w:contextualSpacing/>
    </w:pPr>
    <w:rPr>
      <w:sz w:val="16"/>
      <w:szCs w:val="20"/>
    </w:rPr>
  </w:style>
  <w:style w:type="paragraph" w:customStyle="1" w:styleId="Text">
    <w:name w:val="Text"/>
    <w:basedOn w:val="BodyText"/>
    <w:rsid w:val="00B016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after="60"/>
    </w:pPr>
    <w:rPr>
      <w:rFonts w:cs="Arial"/>
      <w:b/>
      <w:bCs w:val="0"/>
      <w:sz w:val="20"/>
    </w:rPr>
  </w:style>
  <w:style w:type="paragraph" w:styleId="BalloonText">
    <w:name w:val="Balloon Text"/>
    <w:basedOn w:val="Normal"/>
    <w:semiHidden/>
    <w:rsid w:val="00B01661"/>
    <w:rPr>
      <w:rFonts w:ascii="Tahoma" w:hAnsi="Tahoma" w:cs="Tahoma"/>
      <w:sz w:val="16"/>
      <w:szCs w:val="16"/>
      <w:lang w:eastAsia="en-AU"/>
    </w:rPr>
  </w:style>
  <w:style w:type="paragraph" w:styleId="CommentSubject">
    <w:name w:val="annotation subject"/>
    <w:basedOn w:val="CommentText"/>
    <w:next w:val="CommentText"/>
    <w:semiHidden/>
    <w:rsid w:val="00B01661"/>
    <w:rPr>
      <w:rFonts w:eastAsia="Times New Roman"/>
      <w:b/>
      <w:bCs/>
      <w:sz w:val="20"/>
    </w:rPr>
  </w:style>
  <w:style w:type="paragraph" w:styleId="CommentText">
    <w:name w:val="annotation text"/>
    <w:basedOn w:val="Normal"/>
    <w:semiHidden/>
    <w:rsid w:val="00B01661"/>
    <w:rPr>
      <w:rFonts w:ascii="Times New Roman" w:eastAsia="Cordia New" w:hAnsi="Times New Roman"/>
      <w:sz w:val="28"/>
      <w:szCs w:val="20"/>
      <w:lang w:eastAsia="en-AU"/>
    </w:rPr>
  </w:style>
  <w:style w:type="paragraph" w:styleId="List">
    <w:name w:val="List"/>
    <w:basedOn w:val="Normal"/>
    <w:rsid w:val="000C1819"/>
    <w:pPr>
      <w:tabs>
        <w:tab w:val="left" w:pos="284"/>
      </w:tabs>
      <w:spacing w:before="100" w:after="100"/>
      <w:ind w:left="284" w:hanging="284"/>
      <w:contextualSpacing/>
    </w:pPr>
    <w:rPr>
      <w:szCs w:val="20"/>
    </w:rPr>
  </w:style>
  <w:style w:type="character" w:styleId="CommentReference">
    <w:name w:val="annotation reference"/>
    <w:basedOn w:val="DefaultParagraphFont"/>
    <w:semiHidden/>
    <w:rsid w:val="00B01661"/>
    <w:rPr>
      <w:sz w:val="16"/>
    </w:rPr>
  </w:style>
  <w:style w:type="character" w:styleId="Strong">
    <w:name w:val="Strong"/>
    <w:basedOn w:val="DefaultParagraphFont"/>
    <w:rsid w:val="00B01661"/>
    <w:rPr>
      <w:b/>
      <w:bCs/>
    </w:rPr>
  </w:style>
  <w:style w:type="paragraph" w:styleId="Caption">
    <w:name w:val="caption"/>
    <w:basedOn w:val="Normal"/>
    <w:next w:val="Tabletext"/>
    <w:qFormat/>
    <w:rsid w:val="007452D7"/>
    <w:pPr>
      <w:keepNext/>
      <w:spacing w:before="100" w:after="100"/>
      <w:jc w:val="center"/>
    </w:pPr>
    <w:rPr>
      <w:b/>
      <w:szCs w:val="20"/>
    </w:rPr>
  </w:style>
  <w:style w:type="paragraph" w:customStyle="1" w:styleId="Table">
    <w:name w:val="Table"/>
    <w:basedOn w:val="Normal"/>
    <w:qFormat/>
    <w:rsid w:val="00AC30C6"/>
    <w:pPr>
      <w:keepNext/>
      <w:spacing w:before="40" w:after="40"/>
      <w:jc w:val="both"/>
    </w:pPr>
    <w:rPr>
      <w:bCs/>
      <w:sz w:val="16"/>
      <w:szCs w:val="20"/>
    </w:rPr>
  </w:style>
  <w:style w:type="paragraph" w:styleId="Title">
    <w:name w:val="Title"/>
    <w:basedOn w:val="Normal"/>
    <w:next w:val="Author"/>
    <w:qFormat/>
    <w:rsid w:val="00CD4B06"/>
    <w:pPr>
      <w:spacing w:before="120" w:after="240"/>
      <w:jc w:val="center"/>
    </w:pPr>
    <w:rPr>
      <w:b/>
      <w:bCs/>
      <w:sz w:val="24"/>
      <w:szCs w:val="20"/>
    </w:rPr>
  </w:style>
  <w:style w:type="paragraph" w:customStyle="1" w:styleId="Author">
    <w:name w:val="Author"/>
    <w:basedOn w:val="Normal"/>
    <w:next w:val="Authorscontacts"/>
    <w:qFormat/>
    <w:rsid w:val="00FB5765"/>
    <w:pPr>
      <w:spacing w:before="120"/>
      <w:jc w:val="center"/>
    </w:pPr>
    <w:rPr>
      <w:sz w:val="20"/>
      <w:szCs w:val="20"/>
    </w:rPr>
  </w:style>
  <w:style w:type="paragraph" w:customStyle="1" w:styleId="Authorscontacts">
    <w:name w:val="Authors contacts"/>
    <w:basedOn w:val="Normal"/>
    <w:qFormat/>
    <w:rsid w:val="00FB5765"/>
    <w:pPr>
      <w:spacing w:before="120"/>
      <w:contextualSpacing/>
      <w:jc w:val="center"/>
    </w:pPr>
    <w:rPr>
      <w:sz w:val="16"/>
      <w:szCs w:val="20"/>
    </w:rPr>
  </w:style>
  <w:style w:type="paragraph" w:styleId="Subtitle">
    <w:name w:val="Subtitle"/>
    <w:basedOn w:val="Normal"/>
    <w:rsid w:val="00B01661"/>
    <w:pPr>
      <w:widowControl w:val="0"/>
      <w:tabs>
        <w:tab w:val="left" w:pos="1134"/>
        <w:tab w:val="left" w:pos="1418"/>
        <w:tab w:val="left" w:pos="1701"/>
        <w:tab w:val="left" w:pos="2552"/>
        <w:tab w:val="left" w:pos="3969"/>
        <w:tab w:val="left" w:pos="6663"/>
        <w:tab w:val="left" w:pos="9214"/>
      </w:tabs>
      <w:spacing w:before="120" w:after="120"/>
      <w:ind w:right="-7"/>
      <w:jc w:val="center"/>
    </w:pPr>
    <w:rPr>
      <w:b/>
      <w:snapToGrid w:val="0"/>
      <w:sz w:val="20"/>
      <w:szCs w:val="20"/>
      <w:lang w:val="en-US"/>
    </w:rPr>
  </w:style>
  <w:style w:type="paragraph" w:styleId="ListBullet">
    <w:name w:val="List Bullet"/>
    <w:basedOn w:val="List"/>
    <w:link w:val="ListBulletChar"/>
    <w:qFormat/>
    <w:rsid w:val="00564D58"/>
    <w:pPr>
      <w:numPr>
        <w:numId w:val="29"/>
      </w:numPr>
      <w:tabs>
        <w:tab w:val="clear" w:pos="567"/>
      </w:tabs>
      <w:ind w:left="284" w:hanging="284"/>
      <w:jc w:val="both"/>
    </w:pPr>
    <w:rPr>
      <w:bCs/>
    </w:rPr>
  </w:style>
  <w:style w:type="paragraph" w:customStyle="1" w:styleId="Note">
    <w:name w:val="Note"/>
    <w:basedOn w:val="Normal"/>
    <w:rsid w:val="00CD4B06"/>
    <w:pPr>
      <w:spacing w:before="120" w:after="240"/>
      <w:ind w:left="1440" w:right="1150"/>
      <w:jc w:val="both"/>
    </w:pPr>
    <w:rPr>
      <w:bCs/>
      <w:sz w:val="16"/>
    </w:rPr>
  </w:style>
  <w:style w:type="paragraph" w:customStyle="1" w:styleId="Abstract">
    <w:name w:val="Abstract"/>
    <w:basedOn w:val="Normal"/>
    <w:qFormat/>
    <w:rsid w:val="00FB5765"/>
    <w:pPr>
      <w:spacing w:before="120" w:after="60"/>
      <w:ind w:left="567" w:right="567"/>
      <w:jc w:val="both"/>
    </w:pPr>
    <w:rPr>
      <w:bCs/>
      <w:sz w:val="16"/>
      <w:szCs w:val="16"/>
    </w:rPr>
  </w:style>
  <w:style w:type="paragraph" w:customStyle="1" w:styleId="Source">
    <w:name w:val="Source"/>
    <w:basedOn w:val="Normal"/>
    <w:next w:val="BodyText"/>
    <w:qFormat/>
    <w:rsid w:val="00F6779A"/>
    <w:pPr>
      <w:spacing w:before="100" w:after="100"/>
      <w:contextualSpacing/>
      <w:jc w:val="center"/>
    </w:pPr>
    <w:rPr>
      <w:sz w:val="16"/>
      <w:szCs w:val="20"/>
    </w:rPr>
  </w:style>
  <w:style w:type="paragraph" w:styleId="ListNumber">
    <w:name w:val="List Number"/>
    <w:basedOn w:val="List"/>
    <w:qFormat/>
    <w:rsid w:val="00085BFD"/>
    <w:pPr>
      <w:numPr>
        <w:numId w:val="39"/>
      </w:numPr>
      <w:tabs>
        <w:tab w:val="clear" w:pos="567"/>
      </w:tabs>
      <w:ind w:left="284" w:hanging="284"/>
      <w:jc w:val="both"/>
    </w:pPr>
  </w:style>
  <w:style w:type="table" w:styleId="TableClassic1">
    <w:name w:val="Table Classic 1"/>
    <w:basedOn w:val="TableNormal"/>
    <w:rsid w:val="002F673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rsid w:val="008D0429"/>
    <w:rPr>
      <w:rFonts w:ascii="Verdana" w:hAnsi="Verdana" w:cs="Arial"/>
      <w:bCs/>
      <w:i/>
      <w:noProof/>
      <w:sz w:val="18"/>
      <w:szCs w:val="26"/>
      <w:u w:val="single"/>
    </w:rPr>
  </w:style>
  <w:style w:type="paragraph" w:styleId="ListBullet2">
    <w:name w:val="List Bullet 2"/>
    <w:basedOn w:val="Normal"/>
    <w:unhideWhenUsed/>
    <w:qFormat/>
    <w:rsid w:val="00361A9F"/>
    <w:pPr>
      <w:numPr>
        <w:numId w:val="18"/>
      </w:numPr>
      <w:ind w:left="568" w:hanging="284"/>
      <w:contextualSpacing/>
    </w:pPr>
  </w:style>
  <w:style w:type="paragraph" w:customStyle="1" w:styleId="Quotation">
    <w:name w:val="Quotation"/>
    <w:basedOn w:val="BlockText"/>
    <w:qFormat/>
    <w:rsid w:val="004B458C"/>
    <w:pPr>
      <w:ind w:left="284" w:right="284"/>
    </w:pPr>
    <w:rPr>
      <w:bCs w:val="0"/>
      <w:sz w:val="16"/>
    </w:rPr>
  </w:style>
  <w:style w:type="paragraph" w:customStyle="1" w:styleId="Tabletext">
    <w:name w:val="Table text"/>
    <w:basedOn w:val="BodyText"/>
    <w:rsid w:val="005F705B"/>
    <w:pPr>
      <w:keepNext/>
      <w:spacing w:before="40" w:after="40"/>
      <w:contextualSpacing/>
      <w:jc w:val="left"/>
    </w:pPr>
    <w:rPr>
      <w:bCs w:val="0"/>
      <w:sz w:val="16"/>
    </w:rPr>
  </w:style>
  <w:style w:type="paragraph" w:customStyle="1" w:styleId="Tablenotes">
    <w:name w:val="Table notes"/>
    <w:basedOn w:val="Normal"/>
    <w:rsid w:val="00400E79"/>
    <w:pPr>
      <w:spacing w:before="120" w:after="120"/>
      <w:ind w:left="567"/>
      <w:contextualSpacing/>
      <w:jc w:val="both"/>
    </w:pPr>
    <w:rPr>
      <w:rFonts w:asciiTheme="minorHAnsi" w:hAnsiTheme="minorHAnsi"/>
      <w:snapToGrid w:val="0"/>
      <w:sz w:val="20"/>
      <w:szCs w:val="20"/>
    </w:rPr>
  </w:style>
  <w:style w:type="table" w:styleId="TableSimple1">
    <w:name w:val="Table Simple 1"/>
    <w:basedOn w:val="TableNormal"/>
    <w:rsid w:val="00400E7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REISstyle">
    <w:name w:val="REIS style"/>
    <w:basedOn w:val="TableNormal"/>
    <w:uiPriority w:val="99"/>
    <w:rsid w:val="006F5BD4"/>
    <w:pPr>
      <w:jc w:val="center"/>
    </w:pPr>
    <w:rPr>
      <w:rFonts w:asciiTheme="minorHAnsi" w:hAnsiTheme="minorHAnsi"/>
    </w:rPr>
    <w:tblPr>
      <w:jc w:val="center"/>
      <w:tblBorders>
        <w:top w:val="single" w:sz="12" w:space="0" w:color="auto"/>
        <w:bottom w:val="single" w:sz="12" w:space="0" w:color="auto"/>
      </w:tblBorders>
      <w:tblCellMar>
        <w:left w:w="28" w:type="dxa"/>
        <w:right w:w="28" w:type="dxa"/>
      </w:tblCellMar>
    </w:tblPr>
    <w:trPr>
      <w:jc w:val="center"/>
    </w:trPr>
    <w:tcPr>
      <w:shd w:val="clear" w:color="auto" w:fill="auto"/>
      <w:tcMar>
        <w:top w:w="0" w:type="dxa"/>
        <w:left w:w="28" w:type="dxa"/>
        <w:bottom w:w="0" w:type="dxa"/>
        <w:right w:w="28" w:type="dxa"/>
      </w:tcMar>
    </w:tcPr>
    <w:tblStylePr w:type="firstRow">
      <w:rPr>
        <w:b/>
      </w:rPr>
      <w:tblPr/>
      <w:tcPr>
        <w:tcBorders>
          <w:bottom w:val="single" w:sz="6" w:space="0" w:color="auto"/>
          <w:tl2br w:val="none" w:sz="0" w:space="0" w:color="auto"/>
          <w:tr2bl w:val="none" w:sz="0" w:space="0" w:color="auto"/>
        </w:tcBorders>
        <w:shd w:val="clear" w:color="auto" w:fill="auto"/>
      </w:tcPr>
    </w:tblStylePr>
    <w:tblStylePr w:type="lastRow">
      <w:tblPr/>
      <w:tcPr>
        <w:tcBorders>
          <w:top w:val="single" w:sz="6" w:space="0" w:color="auto"/>
          <w:tl2br w:val="none" w:sz="0" w:space="0" w:color="auto"/>
          <w:tr2bl w:val="none" w:sz="0" w:space="0" w:color="auto"/>
        </w:tcBorders>
        <w:shd w:val="clear" w:color="auto" w:fill="auto"/>
      </w:tcPr>
    </w:tblStylePr>
    <w:tblStylePr w:type="firstCol">
      <w:pPr>
        <w:jc w:val="left"/>
      </w:pPr>
    </w:tblStylePr>
  </w:style>
  <w:style w:type="paragraph" w:styleId="List2">
    <w:name w:val="List 2"/>
    <w:basedOn w:val="List"/>
    <w:rsid w:val="00586B1E"/>
    <w:pPr>
      <w:tabs>
        <w:tab w:val="clear" w:pos="284"/>
      </w:tabs>
      <w:spacing w:before="0" w:after="0"/>
      <w:ind w:left="568"/>
      <w:contextualSpacing w:val="0"/>
      <w:jc w:val="both"/>
    </w:pPr>
  </w:style>
  <w:style w:type="table" w:styleId="TableGrid">
    <w:name w:val="Table Grid"/>
    <w:basedOn w:val="TableNormal"/>
    <w:rsid w:val="00BC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725FB"/>
    <w:rPr>
      <w:rFonts w:ascii="Verdana" w:hAnsi="Verdana"/>
      <w:sz w:val="16"/>
      <w:szCs w:val="24"/>
      <w:lang w:eastAsia="en-US"/>
    </w:rPr>
  </w:style>
  <w:style w:type="character" w:styleId="FollowedHyperlink">
    <w:name w:val="FollowedHyperlink"/>
    <w:basedOn w:val="DefaultParagraphFont"/>
    <w:semiHidden/>
    <w:unhideWhenUsed/>
    <w:rsid w:val="00146265"/>
    <w:rPr>
      <w:color w:val="800080" w:themeColor="followedHyperlink"/>
      <w:u w:val="single"/>
    </w:rPr>
  </w:style>
  <w:style w:type="character" w:customStyle="1" w:styleId="BodyTextChar">
    <w:name w:val="Body Text Char"/>
    <w:basedOn w:val="DefaultParagraphFont"/>
    <w:link w:val="BodyText"/>
    <w:rsid w:val="00B03575"/>
    <w:rPr>
      <w:rFonts w:ascii="Verdana" w:hAnsi="Verdana"/>
      <w:bCs/>
      <w:noProof/>
      <w:sz w:val="18"/>
      <w:lang w:eastAsia="en-US"/>
    </w:rPr>
  </w:style>
  <w:style w:type="paragraph" w:customStyle="1" w:styleId="ListNumberTable">
    <w:name w:val="List Number Table"/>
    <w:basedOn w:val="ListNumber"/>
    <w:rsid w:val="00A8075F"/>
    <w:pPr>
      <w:numPr>
        <w:numId w:val="0"/>
      </w:numPr>
      <w:spacing w:before="0" w:after="60"/>
    </w:pPr>
    <w:rPr>
      <w:sz w:val="16"/>
    </w:rPr>
  </w:style>
  <w:style w:type="character" w:customStyle="1" w:styleId="Heading2Char">
    <w:name w:val="Heading 2 Char"/>
    <w:basedOn w:val="DefaultParagraphFont"/>
    <w:link w:val="Heading2"/>
    <w:rsid w:val="00693C4C"/>
    <w:rPr>
      <w:rFonts w:ascii="Verdana" w:hAnsi="Verdana"/>
      <w:b/>
      <w:i/>
      <w:iCs/>
      <w:sz w:val="18"/>
      <w:lang w:eastAsia="en-US"/>
    </w:rPr>
  </w:style>
  <w:style w:type="character" w:customStyle="1" w:styleId="ListBulletChar">
    <w:name w:val="List Bullet Char"/>
    <w:basedOn w:val="DefaultParagraphFont"/>
    <w:link w:val="ListBullet"/>
    <w:rsid w:val="001C274F"/>
    <w:rPr>
      <w:rFonts w:ascii="Verdana" w:hAnsi="Verdana"/>
      <w:bCs/>
      <w:noProof/>
      <w:sz w:val="18"/>
      <w:lang w:eastAsia="en-US"/>
    </w:rPr>
  </w:style>
  <w:style w:type="paragraph" w:styleId="Quote">
    <w:name w:val="Quote"/>
    <w:basedOn w:val="BodyText"/>
    <w:next w:val="BodyText"/>
    <w:link w:val="QuoteChar"/>
    <w:uiPriority w:val="29"/>
    <w:rsid w:val="00AF7148"/>
    <w:pPr>
      <w:ind w:left="567" w:right="567"/>
    </w:pPr>
    <w:rPr>
      <w:iCs/>
      <w:sz w:val="16"/>
    </w:rPr>
  </w:style>
  <w:style w:type="character" w:customStyle="1" w:styleId="QuoteChar">
    <w:name w:val="Quote Char"/>
    <w:basedOn w:val="DefaultParagraphFont"/>
    <w:link w:val="Quote"/>
    <w:uiPriority w:val="29"/>
    <w:rsid w:val="00AF7148"/>
    <w:rPr>
      <w:rFonts w:ascii="Verdana" w:hAnsi="Verdana"/>
      <w:bCs/>
      <w:iCs/>
      <w:sz w:val="16"/>
      <w:lang w:eastAsia="en-US"/>
    </w:rPr>
  </w:style>
  <w:style w:type="paragraph" w:customStyle="1" w:styleId="HeaderFirst">
    <w:name w:val="Header First"/>
    <w:basedOn w:val="Header"/>
    <w:rsid w:val="00122808"/>
    <w:pPr>
      <w:numPr>
        <w:numId w:val="40"/>
      </w:numPr>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innnovation.gov.au"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x.doi.org/10.1071/AN1209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pen.org.au/rural-extension-and-innovation-systems-journ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pen.org.au/rural-extension-and-innovation-systems-jour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AppData\Local\Microsoft\Windows\INetCache\Content.Outlook\HG33QWVD\REIS%20Journal%20Guidelines%20for%20Author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E86A-2A71-4CB4-AF01-82B181CF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REIS Journal Guidelines for Authors template</Template>
  <TotalTime>0</TotalTime>
  <Pages>8</Pages>
  <Words>4117</Words>
  <Characters>23469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27531</CharactersWithSpaces>
  <SharedDoc>false</SharedDoc>
  <HLinks>
    <vt:vector size="6" baseType="variant">
      <vt:variant>
        <vt:i4>3014676</vt:i4>
      </vt:variant>
      <vt:variant>
        <vt:i4>0</vt:i4>
      </vt:variant>
      <vt:variant>
        <vt:i4>0</vt:i4>
      </vt:variant>
      <vt:variant>
        <vt:i4>5</vt:i4>
      </vt:variant>
      <vt:variant>
        <vt:lpwstr>mailto:afbmjournal@listserv.csu.edu.au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2021-03-23T06:45:00Z</dcterms:created>
  <dcterms:modified xsi:type="dcterms:W3CDTF">2021-03-23T06:45:00Z</dcterms:modified>
</cp:coreProperties>
</file>